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3BA2" w14:textId="77777777" w:rsidR="00B646BF" w:rsidRDefault="00000000">
      <w:pPr>
        <w:keepNext/>
        <w:keepLines/>
        <w:adjustRightInd w:val="0"/>
        <w:snapToGrid w:val="0"/>
        <w:spacing w:beforeLines="100" w:before="240" w:afterLines="100" w:after="240" w:line="360" w:lineRule="auto"/>
        <w:jc w:val="center"/>
        <w:outlineLvl w:val="0"/>
        <w:rPr>
          <w:rFonts w:ascii="宋体" w:eastAsia="宋体" w:hAnsi="宋体" w:hint="eastAsia"/>
          <w:b/>
          <w:bCs/>
          <w:kern w:val="44"/>
          <w:sz w:val="44"/>
          <w:szCs w:val="44"/>
        </w:rPr>
      </w:pPr>
      <w:bookmarkStart w:id="0" w:name="OLE_LINK3"/>
      <w:bookmarkStart w:id="1" w:name="OLE_LINK27"/>
      <w:r>
        <w:rPr>
          <w:rFonts w:ascii="宋体" w:eastAsia="宋体" w:hAnsi="宋体" w:hint="eastAsia"/>
          <w:b/>
          <w:bCs/>
          <w:kern w:val="44"/>
          <w:sz w:val="44"/>
          <w:szCs w:val="44"/>
        </w:rPr>
        <w:t>民办本科院校质量监测体系方案</w:t>
      </w:r>
    </w:p>
    <w:p w14:paraId="0BD897B6" w14:textId="77777777" w:rsidR="00B646BF" w:rsidRDefault="00000000">
      <w:pPr>
        <w:adjustRightInd w:val="0"/>
        <w:snapToGrid w:val="0"/>
        <w:spacing w:beforeLines="50" w:before="120" w:afterLines="50" w:after="120" w:line="360" w:lineRule="auto"/>
        <w:outlineLvl w:val="0"/>
        <w:rPr>
          <w:rFonts w:ascii="宋体" w:eastAsia="宋体" w:hAnsi="宋体" w:cs="Times New Roman" w:hint="eastAsia"/>
        </w:rPr>
      </w:pPr>
      <w:bookmarkStart w:id="2" w:name="OLE_LINK5"/>
      <w:r>
        <w:rPr>
          <w:rFonts w:ascii="宋体" w:eastAsia="宋体" w:hAnsi="宋体" w:cs="Times New Roman" w:hint="eastAsia"/>
          <w:b/>
          <w:color w:val="4BACC6"/>
          <w:sz w:val="32"/>
        </w:rPr>
        <w:t>背景概要</w:t>
      </w:r>
    </w:p>
    <w:p w14:paraId="0F40DD23" w14:textId="77777777" w:rsidR="00B646BF" w:rsidRDefault="00000000">
      <w:pPr>
        <w:adjustRightInd w:val="0"/>
        <w:snapToGrid w:val="0"/>
        <w:spacing w:beforeLines="50" w:before="120" w:line="360" w:lineRule="auto"/>
        <w:ind w:firstLineChars="200" w:firstLine="420"/>
        <w:rPr>
          <w:rFonts w:ascii="宋体" w:eastAsia="宋体" w:hAnsi="宋体" w:cs="Calibri" w:hint="eastAsia"/>
        </w:rPr>
      </w:pPr>
      <w:bookmarkStart w:id="3" w:name="OLE_LINK10"/>
      <w:bookmarkStart w:id="4" w:name="OLE_LINK6"/>
      <w:bookmarkStart w:id="5" w:name="OLE_LINK1"/>
      <w:bookmarkStart w:id="6" w:name="_Hlk21616809"/>
      <w:r>
        <w:rPr>
          <w:rFonts w:ascii="宋体" w:eastAsia="宋体" w:hAnsi="宋体" w:cs="Calibri" w:hint="eastAsia"/>
        </w:rPr>
        <w:t>民办高等教育是我国高等教育事业不可或缺的重要组成部分，是深化教育综合改革、激发教育发展活力的关键力量，在扩大教育资源供给、优化教育结构、培养多样化人才等方面发挥着日益突出的</w:t>
      </w:r>
      <w:r>
        <w:rPr>
          <w:rFonts w:eastAsia="宋体" w:cstheme="minorHAnsi"/>
        </w:rPr>
        <w:t>作用。《教育强国建设规划纲要（</w:t>
      </w:r>
      <w:r>
        <w:rPr>
          <w:rFonts w:eastAsia="宋体" w:cstheme="minorHAnsi"/>
        </w:rPr>
        <w:t>2024—2035</w:t>
      </w:r>
      <w:r>
        <w:rPr>
          <w:rFonts w:eastAsia="宋体" w:cstheme="minorHAnsi"/>
        </w:rPr>
        <w:t>年）</w:t>
      </w:r>
      <w:r>
        <w:rPr>
          <w:rFonts w:ascii="宋体" w:eastAsia="宋体" w:hAnsi="宋体" w:cs="Calibri" w:hint="eastAsia"/>
        </w:rPr>
        <w:t>》明确提出要</w:t>
      </w:r>
      <w:r>
        <w:rPr>
          <w:rFonts w:ascii="宋体" w:eastAsia="宋体" w:hAnsi="宋体" w:cs="Calibri" w:hint="eastAsia"/>
          <w:b/>
          <w:bCs/>
        </w:rPr>
        <w:t>“引导规范民办教育发展”</w:t>
      </w:r>
      <w:r>
        <w:rPr>
          <w:rFonts w:ascii="宋体" w:eastAsia="宋体" w:hAnsi="宋体" w:cs="Calibri" w:hint="eastAsia"/>
        </w:rPr>
        <w:t>，标志着民办教育从规模扩张转向</w:t>
      </w:r>
      <w:r>
        <w:rPr>
          <w:rFonts w:ascii="宋体" w:eastAsia="宋体" w:hAnsi="宋体" w:cs="Calibri"/>
          <w:b/>
          <w:bCs/>
        </w:rPr>
        <w:t>内涵发展与质量提升</w:t>
      </w:r>
      <w:r>
        <w:rPr>
          <w:rFonts w:ascii="宋体" w:eastAsia="宋体" w:hAnsi="宋体" w:cs="Calibri"/>
        </w:rPr>
        <w:t>的新阶段</w:t>
      </w:r>
      <w:r>
        <w:rPr>
          <w:rFonts w:ascii="宋体" w:eastAsia="宋体" w:hAnsi="宋体" w:cs="Calibri" w:hint="eastAsia"/>
        </w:rPr>
        <w:t>。同时，</w:t>
      </w:r>
      <w:r>
        <w:rPr>
          <w:rFonts w:ascii="宋体" w:eastAsia="宋体" w:hAnsi="宋体" w:cs="Calibri"/>
        </w:rPr>
        <w:t>教育部《关于深化新时代高等学校评估改革方案》</w:t>
      </w:r>
      <w:r>
        <w:rPr>
          <w:rFonts w:ascii="宋体" w:eastAsia="宋体" w:hAnsi="宋体" w:cs="Calibri" w:hint="eastAsia"/>
        </w:rPr>
        <w:t>中提出，为深化新时代高等学校评估改革，加快推进教育强国建设，推动高校实施分类评估。</w:t>
      </w:r>
      <w:r>
        <w:rPr>
          <w:rFonts w:ascii="宋体" w:eastAsia="宋体" w:hAnsi="宋体" w:cs="Calibri"/>
        </w:rPr>
        <w:t>教育部实施的“普通高等学校本科教育教学</w:t>
      </w:r>
      <w:r>
        <w:rPr>
          <w:rFonts w:ascii="宋体" w:eastAsia="宋体" w:hAnsi="宋体" w:cs="Calibri"/>
          <w:b/>
          <w:bCs/>
        </w:rPr>
        <w:t>审核评估</w:t>
      </w:r>
      <w:r>
        <w:rPr>
          <w:rFonts w:ascii="宋体" w:eastAsia="宋体" w:hAnsi="宋体" w:cs="Calibri"/>
        </w:rPr>
        <w:t>”</w:t>
      </w:r>
      <w:bookmarkStart w:id="7" w:name="OLE_LINK4"/>
      <w:r>
        <w:rPr>
          <w:rFonts w:ascii="宋体" w:eastAsia="宋体" w:hAnsi="宋体" w:cs="Calibri"/>
        </w:rPr>
        <w:t>以及针对新建本科院校的“</w:t>
      </w:r>
      <w:r>
        <w:rPr>
          <w:rFonts w:ascii="宋体" w:eastAsia="宋体" w:hAnsi="宋体" w:cs="Calibri"/>
          <w:b/>
          <w:bCs/>
        </w:rPr>
        <w:t>合格评估</w:t>
      </w:r>
      <w:r>
        <w:rPr>
          <w:rFonts w:ascii="宋体" w:eastAsia="宋体" w:hAnsi="宋体" w:cs="Calibri"/>
        </w:rPr>
        <w:t>”</w:t>
      </w:r>
      <w:bookmarkEnd w:id="7"/>
      <w:r>
        <w:rPr>
          <w:rFonts w:ascii="宋体" w:eastAsia="宋体" w:hAnsi="宋体" w:cs="Calibri"/>
        </w:rPr>
        <w:t>，共同构成了引导和规范民办高校办学行为的核心政策框架</w:t>
      </w:r>
      <w:r>
        <w:rPr>
          <w:rFonts w:ascii="宋体" w:eastAsia="宋体" w:hAnsi="宋体" w:cs="Calibri" w:hint="eastAsia"/>
        </w:rPr>
        <w:t>，</w:t>
      </w:r>
      <w:r>
        <w:rPr>
          <w:rFonts w:ascii="宋体" w:eastAsia="宋体" w:hAnsi="宋体" w:cs="Calibri"/>
        </w:rPr>
        <w:t>旨在推动民办院校</w:t>
      </w:r>
      <w:r>
        <w:rPr>
          <w:rFonts w:ascii="宋体" w:eastAsia="宋体" w:hAnsi="宋体" w:cs="Calibri"/>
          <w:b/>
          <w:bCs/>
        </w:rPr>
        <w:t>建立完善的内部质量保障机制</w:t>
      </w:r>
      <w:r>
        <w:rPr>
          <w:rFonts w:ascii="宋体" w:eastAsia="宋体" w:hAnsi="宋体" w:cs="Calibri" w:hint="eastAsia"/>
        </w:rPr>
        <w:t>。</w:t>
      </w:r>
    </w:p>
    <w:bookmarkEnd w:id="3"/>
    <w:p w14:paraId="46704E26" w14:textId="77777777" w:rsidR="00B646BF" w:rsidRDefault="00000000">
      <w:pPr>
        <w:adjustRightInd w:val="0"/>
        <w:snapToGrid w:val="0"/>
        <w:spacing w:beforeLines="50" w:before="120" w:line="360" w:lineRule="auto"/>
        <w:ind w:firstLineChars="200" w:firstLine="420"/>
        <w:rPr>
          <w:rFonts w:ascii="宋体" w:eastAsia="宋体" w:hAnsi="宋体" w:cs="Calibri" w:hint="eastAsia"/>
        </w:rPr>
      </w:pPr>
      <w:r>
        <w:rPr>
          <w:rFonts w:ascii="宋体" w:eastAsia="宋体" w:hAnsi="宋体" w:cs="Calibri" w:hint="eastAsia"/>
        </w:rPr>
        <w:t>同时，</w:t>
      </w:r>
      <w:r>
        <w:rPr>
          <w:rFonts w:ascii="宋体" w:eastAsia="宋体" w:hAnsi="宋体" w:cs="Calibri"/>
        </w:rPr>
        <w:t>在民办高等教育逐渐从规模扩张转向内涵发展与质量提升的背景下，民办本科院校具有其独特的</w:t>
      </w:r>
      <w:r>
        <w:rPr>
          <w:rFonts w:ascii="宋体" w:eastAsia="宋体" w:hAnsi="宋体" w:cs="Calibri"/>
          <w:b/>
          <w:bCs/>
        </w:rPr>
        <w:t>发展特征与挑战</w:t>
      </w:r>
      <w:r>
        <w:rPr>
          <w:rFonts w:ascii="宋体" w:eastAsia="宋体" w:hAnsi="宋体" w:cs="Calibri" w:hint="eastAsia"/>
        </w:rPr>
        <w:t>：其一，办学机制灵活，更贴近市场需求，但在</w:t>
      </w:r>
      <w:r>
        <w:rPr>
          <w:rFonts w:ascii="宋体" w:eastAsia="宋体" w:hAnsi="宋体" w:cs="Calibri" w:hint="eastAsia"/>
          <w:b/>
          <w:bCs/>
        </w:rPr>
        <w:t>办学资源、专业设置、生源基础</w:t>
      </w:r>
      <w:r>
        <w:rPr>
          <w:rFonts w:ascii="宋体" w:eastAsia="宋体" w:hAnsi="宋体" w:cs="Calibri" w:hint="eastAsia"/>
        </w:rPr>
        <w:t>等方面往往面临更大约束；其二，人才培养定位多以应用型、职业导向为核心，其质量评价标准需超越传统学术尺</w:t>
      </w:r>
      <w:proofErr w:type="gramStart"/>
      <w:r>
        <w:rPr>
          <w:rFonts w:ascii="宋体" w:eastAsia="宋体" w:hAnsi="宋体" w:cs="Calibri" w:hint="eastAsia"/>
        </w:rPr>
        <w:t>规</w:t>
      </w:r>
      <w:proofErr w:type="gramEnd"/>
      <w:r>
        <w:rPr>
          <w:rFonts w:ascii="宋体" w:eastAsia="宋体" w:hAnsi="宋体" w:cs="Calibri" w:hint="eastAsia"/>
        </w:rPr>
        <w:t>，更加注重</w:t>
      </w:r>
      <w:r>
        <w:rPr>
          <w:rFonts w:ascii="宋体" w:eastAsia="宋体" w:hAnsi="宋体" w:cs="Calibri" w:hint="eastAsia"/>
          <w:b/>
          <w:bCs/>
        </w:rPr>
        <w:t>实践能力与就业质量</w:t>
      </w:r>
      <w:r>
        <w:rPr>
          <w:rFonts w:ascii="宋体" w:eastAsia="宋体" w:hAnsi="宋体" w:cs="Calibri" w:hint="eastAsia"/>
        </w:rPr>
        <w:t>；其三，</w:t>
      </w:r>
      <w:r>
        <w:rPr>
          <w:rFonts w:ascii="宋体" w:eastAsia="宋体" w:hAnsi="宋体" w:cs="Calibri" w:hint="eastAsia"/>
          <w:b/>
          <w:bCs/>
        </w:rPr>
        <w:t>生源竞争激烈，社会认可度仍需提升</w:t>
      </w:r>
      <w:r>
        <w:rPr>
          <w:rFonts w:ascii="宋体" w:eastAsia="宋体" w:hAnsi="宋体" w:cs="Calibri" w:hint="eastAsia"/>
        </w:rPr>
        <w:t>，亟需通过客观、公正、透明的质量评价体系来回应社会关切，树立品牌信誉。</w:t>
      </w:r>
    </w:p>
    <w:bookmarkEnd w:id="0"/>
    <w:bookmarkEnd w:id="2"/>
    <w:bookmarkEnd w:id="4"/>
    <w:p w14:paraId="5D72D7C0" w14:textId="77777777" w:rsidR="00B646BF" w:rsidRDefault="00000000">
      <w:pPr>
        <w:adjustRightInd w:val="0"/>
        <w:snapToGrid w:val="0"/>
        <w:spacing w:beforeLines="50" w:before="120" w:line="360" w:lineRule="auto"/>
        <w:ind w:firstLineChars="200" w:firstLine="420"/>
        <w:rPr>
          <w:rFonts w:ascii="宋体" w:eastAsia="宋体" w:hAnsi="宋体" w:cs="Calibri" w:hint="eastAsia"/>
        </w:rPr>
      </w:pPr>
      <w:r>
        <w:rPr>
          <w:rFonts w:ascii="宋体" w:eastAsia="宋体" w:hAnsi="宋体" w:cs="Calibri" w:hint="eastAsia"/>
        </w:rPr>
        <w:t>在此背景下，构建一套</w:t>
      </w:r>
      <w:r>
        <w:rPr>
          <w:rFonts w:ascii="宋体" w:eastAsia="宋体" w:hAnsi="宋体" w:cs="Calibri" w:hint="eastAsia"/>
          <w:b/>
          <w:bCs/>
        </w:rPr>
        <w:t>科学、系统、多元的质量监测评价体系</w:t>
      </w:r>
      <w:r>
        <w:rPr>
          <w:rFonts w:ascii="宋体" w:eastAsia="宋体" w:hAnsi="宋体" w:cs="Calibri" w:hint="eastAsia"/>
        </w:rPr>
        <w:t>，已成为民办本科高校应对政策监管、实现可持续内涵发展的核心战略任务——</w:t>
      </w:r>
    </w:p>
    <w:p w14:paraId="19CBD9B0" w14:textId="77777777" w:rsidR="00B646BF" w:rsidRDefault="00000000">
      <w:pPr>
        <w:numPr>
          <w:ilvl w:val="0"/>
          <w:numId w:val="3"/>
        </w:numPr>
        <w:adjustRightInd w:val="0"/>
        <w:snapToGrid w:val="0"/>
        <w:spacing w:beforeLines="50" w:before="120" w:line="360" w:lineRule="auto"/>
        <w:rPr>
          <w:rFonts w:ascii="宋体" w:eastAsia="宋体" w:hAnsi="宋体" w:cs="Calibri" w:hint="eastAsia"/>
        </w:rPr>
      </w:pPr>
      <w:bookmarkStart w:id="8" w:name="OLE_LINK12"/>
      <w:bookmarkStart w:id="9" w:name="OLE_LINK13"/>
      <w:bookmarkStart w:id="10" w:name="OLE_LINK9"/>
      <w:bookmarkStart w:id="11" w:name="OLE_LINK11"/>
      <w:bookmarkEnd w:id="5"/>
      <w:r>
        <w:rPr>
          <w:rFonts w:ascii="宋体" w:eastAsia="宋体" w:hAnsi="宋体" w:cs="Calibri"/>
          <w:b/>
          <w:bCs/>
        </w:rPr>
        <w:t>落实</w:t>
      </w:r>
      <w:r>
        <w:rPr>
          <w:rFonts w:ascii="宋体" w:eastAsia="宋体" w:hAnsi="宋体" w:cs="Calibri" w:hint="eastAsia"/>
          <w:b/>
          <w:bCs/>
        </w:rPr>
        <w:t>评估要求</w:t>
      </w:r>
      <w:r>
        <w:rPr>
          <w:rFonts w:ascii="宋体" w:eastAsia="宋体" w:hAnsi="宋体" w:cs="Calibri"/>
          <w:b/>
          <w:bCs/>
        </w:rPr>
        <w:t>，构建持续改进长效机制</w:t>
      </w:r>
      <w:bookmarkEnd w:id="8"/>
      <w:r>
        <w:rPr>
          <w:rFonts w:ascii="宋体" w:eastAsia="宋体" w:hAnsi="宋体" w:cs="Calibri" w:hint="eastAsia"/>
          <w:b/>
          <w:bCs/>
        </w:rPr>
        <w:t>：</w:t>
      </w:r>
      <w:bookmarkEnd w:id="9"/>
      <w:r>
        <w:rPr>
          <w:rFonts w:ascii="宋体" w:eastAsia="宋体" w:hAnsi="宋体" w:cs="Calibri" w:hint="eastAsia"/>
        </w:rPr>
        <w:t>合格评估与审核评估是国家对本科院校办学质量的底线要求和</w:t>
      </w:r>
      <w:bookmarkStart w:id="12" w:name="OLE_LINK24"/>
      <w:r>
        <w:rPr>
          <w:rFonts w:ascii="宋体" w:eastAsia="宋体" w:hAnsi="宋体" w:cs="Calibri" w:hint="eastAsia"/>
        </w:rPr>
        <w:t>周期性检验</w:t>
      </w:r>
      <w:bookmarkEnd w:id="12"/>
      <w:r>
        <w:rPr>
          <w:rFonts w:ascii="宋体" w:eastAsia="宋体" w:hAnsi="宋体" w:cs="Calibri" w:hint="eastAsia"/>
        </w:rPr>
        <w:t>，院校评估强调基于数据的证据支撑和多元参与的评价机制。民办院校需依托专业化的多元评价监测体系，将评估指标转化为常态化、可量化的自查与预警工具，实现对办学状态的过程性监控与发展预判，从而建立持续改进的长效机制。</w:t>
      </w:r>
    </w:p>
    <w:p w14:paraId="3C6AEEDC" w14:textId="77777777" w:rsidR="00B646BF" w:rsidRDefault="00000000">
      <w:pPr>
        <w:numPr>
          <w:ilvl w:val="0"/>
          <w:numId w:val="3"/>
        </w:numPr>
        <w:adjustRightInd w:val="0"/>
        <w:snapToGrid w:val="0"/>
        <w:spacing w:beforeLines="50" w:before="120" w:line="360" w:lineRule="auto"/>
        <w:rPr>
          <w:rFonts w:ascii="宋体" w:eastAsia="宋体" w:hAnsi="宋体" w:cs="Calibri" w:hint="eastAsia"/>
        </w:rPr>
      </w:pPr>
      <w:bookmarkStart w:id="13" w:name="OLE_LINK14"/>
      <w:r>
        <w:rPr>
          <w:rFonts w:ascii="宋体" w:eastAsia="宋体" w:hAnsi="宋体" w:cs="Calibri" w:hint="eastAsia"/>
          <w:b/>
          <w:bCs/>
        </w:rPr>
        <w:t>突破同质竞争，驱动人才培养内涵发展：</w:t>
      </w:r>
      <w:bookmarkEnd w:id="13"/>
      <w:r>
        <w:rPr>
          <w:rFonts w:ascii="宋体" w:eastAsia="宋体" w:hAnsi="宋体" w:cs="Calibri" w:hint="eastAsia"/>
        </w:rPr>
        <w:t>民办高校的核心竞争力在于其独特的办学特色。传统的、单一的以学术科研为主的评价模式难以全面衡量其办学成效。</w:t>
      </w:r>
      <w:bookmarkStart w:id="14" w:name="OLE_LINK7"/>
      <w:r>
        <w:rPr>
          <w:rFonts w:ascii="宋体" w:eastAsia="宋体" w:hAnsi="宋体" w:cs="Calibri" w:hint="eastAsia"/>
        </w:rPr>
        <w:t>因此，必须建立多元评价机制，将学生成长成才、教学过程优化、毕业生就业质量与职业发展、用人单位满意度等多元维度纳入核心观测点，精准刻画其教育价值，驱动院校特色发展。</w:t>
      </w:r>
      <w:bookmarkEnd w:id="14"/>
    </w:p>
    <w:p w14:paraId="6D5A310E" w14:textId="77777777" w:rsidR="00B646BF" w:rsidRDefault="00000000">
      <w:pPr>
        <w:numPr>
          <w:ilvl w:val="0"/>
          <w:numId w:val="3"/>
        </w:numPr>
        <w:adjustRightInd w:val="0"/>
        <w:snapToGrid w:val="0"/>
        <w:spacing w:beforeLines="50" w:before="120" w:line="360" w:lineRule="auto"/>
        <w:rPr>
          <w:rFonts w:ascii="宋体" w:eastAsia="宋体" w:hAnsi="宋体" w:cs="Calibri" w:hint="eastAsia"/>
        </w:rPr>
      </w:pPr>
      <w:r>
        <w:rPr>
          <w:rFonts w:ascii="宋体" w:eastAsia="宋体" w:hAnsi="宋体" w:cs="Calibri"/>
          <w:b/>
          <w:bCs/>
        </w:rPr>
        <w:lastRenderedPageBreak/>
        <w:t>数据驱动决策，赋能管理精准科学发展</w:t>
      </w:r>
      <w:r>
        <w:rPr>
          <w:rFonts w:ascii="宋体" w:eastAsia="宋体" w:hAnsi="宋体" w:cs="Calibri" w:hint="eastAsia"/>
        </w:rPr>
        <w:t>：在高校数字化转型背景下，民办高校需打破数据孤岛，通过多时间点的纵向对比、同类院校的横向对标，精准定位优势与短板，使质量改进决策从“经验驱动”转向“数据驱动”，真正赋能学校管理的精细化与科学化。</w:t>
      </w:r>
    </w:p>
    <w:bookmarkEnd w:id="6"/>
    <w:bookmarkEnd w:id="10"/>
    <w:bookmarkEnd w:id="11"/>
    <w:p w14:paraId="3818DCB3" w14:textId="77777777" w:rsidR="00B646BF" w:rsidRDefault="00000000">
      <w:pPr>
        <w:adjustRightInd w:val="0"/>
        <w:snapToGrid w:val="0"/>
        <w:spacing w:beforeLines="50" w:before="120" w:afterLines="50" w:after="120" w:line="360" w:lineRule="auto"/>
        <w:outlineLvl w:val="0"/>
        <w:rPr>
          <w:rFonts w:ascii="宋体" w:eastAsia="宋体" w:hAnsi="宋体" w:hint="eastAsia"/>
          <w:b/>
          <w:color w:val="4BACC6"/>
          <w:sz w:val="32"/>
        </w:rPr>
      </w:pPr>
      <w:r>
        <w:rPr>
          <w:rFonts w:ascii="宋体" w:eastAsia="宋体" w:hAnsi="宋体" w:hint="eastAsia"/>
          <w:b/>
          <w:color w:val="4BACC6"/>
          <w:sz w:val="32"/>
        </w:rPr>
        <w:t>项目价值</w:t>
      </w:r>
    </w:p>
    <w:p w14:paraId="3952E2DC" w14:textId="161765EC" w:rsidR="00B646BF" w:rsidRPr="005E69D6" w:rsidRDefault="00000000" w:rsidP="005E69D6">
      <w:pPr>
        <w:adjustRightInd w:val="0"/>
        <w:snapToGrid w:val="0"/>
        <w:spacing w:beforeLines="50" w:before="120" w:line="360" w:lineRule="auto"/>
        <w:ind w:firstLineChars="200" w:firstLine="420"/>
        <w:rPr>
          <w:rFonts w:ascii="宋体" w:eastAsia="宋体" w:hAnsi="宋体" w:cs="Calibri" w:hint="eastAsia"/>
        </w:rPr>
      </w:pPr>
      <w:bookmarkStart w:id="15" w:name="OLE_LINK18"/>
      <w:r>
        <w:rPr>
          <w:rFonts w:ascii="宋体" w:eastAsia="宋体" w:hAnsi="宋体" w:cs="Calibri"/>
        </w:rPr>
        <w:t>构建并实施多元评价的质量监测体系，对民办本科院校而言，是其提升治理能力的关键抓手，更是院校</w:t>
      </w:r>
      <w:r>
        <w:rPr>
          <w:rFonts w:ascii="宋体" w:eastAsia="宋体" w:hAnsi="宋体" w:cs="Calibri"/>
          <w:b/>
          <w:bCs/>
        </w:rPr>
        <w:t>确保顺利通过</w:t>
      </w:r>
      <w:r>
        <w:rPr>
          <w:rFonts w:ascii="宋体" w:eastAsia="宋体" w:hAnsi="宋体" w:cs="Calibri" w:hint="eastAsia"/>
          <w:b/>
          <w:bCs/>
        </w:rPr>
        <w:t>院校</w:t>
      </w:r>
      <w:r>
        <w:rPr>
          <w:rFonts w:ascii="宋体" w:eastAsia="宋体" w:hAnsi="宋体" w:cs="Calibri"/>
          <w:b/>
          <w:bCs/>
        </w:rPr>
        <w:t>评估</w:t>
      </w:r>
      <w:r>
        <w:rPr>
          <w:rFonts w:ascii="宋体" w:eastAsia="宋体" w:hAnsi="宋体" w:cs="Calibri"/>
        </w:rPr>
        <w:t>、</w:t>
      </w:r>
      <w:r>
        <w:rPr>
          <w:rFonts w:ascii="宋体" w:eastAsia="宋体" w:hAnsi="宋体" w:cs="Calibri"/>
          <w:b/>
          <w:bCs/>
        </w:rPr>
        <w:t>实现可持续内涵发展</w:t>
      </w:r>
      <w:r>
        <w:rPr>
          <w:rFonts w:ascii="宋体" w:eastAsia="宋体" w:hAnsi="宋体" w:cs="Calibri"/>
        </w:rPr>
        <w:t>的核心支撑与驱动力量。其价值集中体现在以下两个维度：</w:t>
      </w:r>
      <w:bookmarkStart w:id="16" w:name="OLE_LINK2"/>
      <w:bookmarkStart w:id="17" w:name="OLE_LINK21"/>
      <w:bookmarkEnd w:id="15"/>
    </w:p>
    <w:p w14:paraId="276722CD" w14:textId="77777777" w:rsidR="00B646BF" w:rsidRDefault="00000000">
      <w:pPr>
        <w:pStyle w:val="4"/>
        <w:widowControl/>
        <w:adjustRightInd w:val="0"/>
        <w:snapToGrid w:val="0"/>
        <w:spacing w:beforeAutospacing="0" w:afterAutospacing="0" w:line="360" w:lineRule="auto"/>
        <w:rPr>
          <w:rFonts w:cs="Segoe UI"/>
          <w:bCs w:val="0"/>
          <w:color w:val="404040"/>
          <w:sz w:val="21"/>
          <w:szCs w:val="21"/>
        </w:rPr>
      </w:pPr>
      <w:bookmarkStart w:id="18" w:name="OLE_LINK23"/>
      <w:r>
        <w:rPr>
          <w:rFonts w:cs="Calibri" w:hint="default"/>
          <w:b w:val="0"/>
          <w:kern w:val="2"/>
          <w:szCs w:val="22"/>
        </w:rPr>
        <w:t>一</w:t>
      </w:r>
      <w:r>
        <w:rPr>
          <w:rFonts w:cs="Calibri" w:hint="default"/>
          <w:bCs w:val="0"/>
          <w:kern w:val="2"/>
          <w:sz w:val="21"/>
          <w:szCs w:val="22"/>
        </w:rPr>
        <w:t>、服务</w:t>
      </w:r>
      <w:r>
        <w:rPr>
          <w:rFonts w:cs="Calibri"/>
          <w:bCs w:val="0"/>
          <w:kern w:val="2"/>
          <w:sz w:val="21"/>
          <w:szCs w:val="22"/>
        </w:rPr>
        <w:t>审核评估：从“被动迎检”到“主动建设”</w:t>
      </w:r>
    </w:p>
    <w:p w14:paraId="3AAECD97" w14:textId="77777777" w:rsidR="00B646BF" w:rsidRDefault="00000000">
      <w:pPr>
        <w:pStyle w:val="af0"/>
        <w:adjustRightInd w:val="0"/>
        <w:snapToGrid w:val="0"/>
        <w:spacing w:before="0" w:beforeAutospacing="0" w:after="0" w:afterAutospacing="0" w:line="360" w:lineRule="auto"/>
        <w:ind w:firstLineChars="200" w:firstLine="420"/>
        <w:rPr>
          <w:rFonts w:cs="Segoe UI" w:hint="eastAsia"/>
          <w:color w:val="404040"/>
          <w:sz w:val="21"/>
          <w:szCs w:val="21"/>
          <w:shd w:val="clear" w:color="auto" w:fill="FFFFFF"/>
        </w:rPr>
      </w:pPr>
      <w:r>
        <w:rPr>
          <w:rFonts w:cs="Segoe UI" w:hint="eastAsia"/>
          <w:color w:val="404040"/>
          <w:sz w:val="21"/>
          <w:szCs w:val="21"/>
          <w:shd w:val="clear" w:color="auto" w:fill="FFFFFF"/>
        </w:rPr>
        <w:t>针对已经通过合格评估的新建民办本科院校，需面对周期性检验的审核评估，审核评估是推动院校从“达标合规”向“追求卓越”战略转型的核心引擎。多元评价监测体系在此过程中发挥着引领性与驱动性作用：</w:t>
      </w:r>
    </w:p>
    <w:p w14:paraId="5F11FFC2" w14:textId="77777777" w:rsidR="00B646BF" w:rsidRDefault="00000000">
      <w:pPr>
        <w:numPr>
          <w:ilvl w:val="0"/>
          <w:numId w:val="3"/>
        </w:numPr>
        <w:adjustRightInd w:val="0"/>
        <w:snapToGrid w:val="0"/>
        <w:spacing w:line="360" w:lineRule="auto"/>
        <w:rPr>
          <w:rFonts w:ascii="宋体" w:eastAsia="宋体" w:hAnsi="宋体" w:hint="eastAsia"/>
          <w:szCs w:val="21"/>
        </w:rPr>
      </w:pPr>
      <w:r>
        <w:rPr>
          <w:rStyle w:val="af4"/>
          <w:rFonts w:ascii="宋体" w:eastAsia="宋体" w:hAnsi="宋体" w:cs="Segoe UI" w:hint="eastAsia"/>
          <w:bCs/>
          <w:color w:val="404040"/>
          <w:szCs w:val="21"/>
          <w:shd w:val="clear" w:color="auto" w:fill="FFFFFF"/>
        </w:rPr>
        <w:t>完善</w:t>
      </w:r>
      <w:proofErr w:type="gramStart"/>
      <w:r>
        <w:rPr>
          <w:rStyle w:val="af4"/>
          <w:rFonts w:ascii="宋体" w:eastAsia="宋体" w:hAnsi="宋体" w:cs="Segoe UI" w:hint="eastAsia"/>
          <w:bCs/>
          <w:color w:val="404040"/>
          <w:szCs w:val="21"/>
          <w:shd w:val="clear" w:color="auto" w:fill="FFFFFF"/>
        </w:rPr>
        <w:t>内部质</w:t>
      </w:r>
      <w:proofErr w:type="gramEnd"/>
      <w:r>
        <w:rPr>
          <w:rStyle w:val="af4"/>
          <w:rFonts w:ascii="宋体" w:eastAsia="宋体" w:hAnsi="宋体" w:cs="Segoe UI" w:hint="eastAsia"/>
          <w:bCs/>
          <w:color w:val="404040"/>
          <w:szCs w:val="21"/>
          <w:shd w:val="clear" w:color="auto" w:fill="FFFFFF"/>
        </w:rPr>
        <w:t>保体系，实现评估指标的全方位对标与常态化检查</w:t>
      </w:r>
      <w:r>
        <w:rPr>
          <w:rFonts w:ascii="宋体" w:eastAsia="宋体" w:hAnsi="宋体" w:cs="Segoe UI" w:hint="eastAsia"/>
          <w:color w:val="404040"/>
          <w:szCs w:val="21"/>
          <w:shd w:val="clear" w:color="auto" w:fill="FFFFFF"/>
        </w:rPr>
        <w:t>：多元评价监测体系</w:t>
      </w:r>
      <w:r>
        <w:rPr>
          <w:rFonts w:hint="eastAsia"/>
        </w:rPr>
        <w:t>帮助学校</w:t>
      </w:r>
      <w:proofErr w:type="gramStart"/>
      <w:r>
        <w:rPr>
          <w:rFonts w:ascii="Calibri" w:eastAsia="宋体" w:hAnsi="Calibri" w:cs="Times New Roman" w:hint="eastAsia"/>
        </w:rPr>
        <w:t>构建多元</w:t>
      </w:r>
      <w:proofErr w:type="gramEnd"/>
      <w:r>
        <w:rPr>
          <w:rFonts w:ascii="Calibri" w:eastAsia="宋体" w:hAnsi="Calibri" w:cs="Times New Roman" w:hint="eastAsia"/>
        </w:rPr>
        <w:t>参与、常态持续、过程监控的质量监测机制</w:t>
      </w:r>
      <w:r>
        <w:rPr>
          <w:rFonts w:hint="eastAsia"/>
        </w:rPr>
        <w:t>，多维度呈现人才培养质量。同时</w:t>
      </w:r>
      <w:r>
        <w:rPr>
          <w:rFonts w:ascii="宋体" w:eastAsia="宋体" w:hAnsi="宋体" w:cs="Segoe UI" w:hint="eastAsia"/>
          <w:color w:val="404040"/>
          <w:szCs w:val="21"/>
          <w:shd w:val="clear" w:color="auto" w:fill="FFFFFF"/>
        </w:rPr>
        <w:t>将评估指标中的定性要求转化为可量化、可追踪的观测点，</w:t>
      </w:r>
      <w:r>
        <w:rPr>
          <w:rFonts w:ascii="宋体" w:eastAsia="宋体" w:hAnsi="宋体" w:hint="eastAsia"/>
          <w:szCs w:val="21"/>
        </w:rPr>
        <w:t>在自评过程中，为学校提供客观、准确的数据佐证支持。</w:t>
      </w:r>
    </w:p>
    <w:p w14:paraId="508D9084" w14:textId="77777777" w:rsidR="00B646BF" w:rsidRDefault="00000000">
      <w:pPr>
        <w:numPr>
          <w:ilvl w:val="0"/>
          <w:numId w:val="3"/>
        </w:numPr>
        <w:adjustRightInd w:val="0"/>
        <w:snapToGrid w:val="0"/>
        <w:spacing w:line="360" w:lineRule="auto"/>
        <w:rPr>
          <w:rFonts w:ascii="宋体" w:eastAsia="宋体" w:hAnsi="宋体" w:cs="Segoe UI" w:hint="eastAsia"/>
          <w:color w:val="404040"/>
          <w:szCs w:val="21"/>
          <w:shd w:val="clear" w:color="auto" w:fill="FFFFFF"/>
        </w:rPr>
      </w:pPr>
      <w:r>
        <w:rPr>
          <w:rStyle w:val="af4"/>
          <w:rFonts w:ascii="宋体" w:eastAsia="宋体" w:hAnsi="宋体" w:cs="Segoe UI" w:hint="eastAsia"/>
          <w:bCs/>
          <w:color w:val="404040"/>
          <w:szCs w:val="21"/>
          <w:shd w:val="clear" w:color="auto" w:fill="FFFFFF"/>
        </w:rPr>
        <w:t>构建“评价-反馈-改进”的闭环，建立持续改进长效机制</w:t>
      </w:r>
      <w:r>
        <w:rPr>
          <w:rFonts w:ascii="宋体" w:eastAsia="宋体" w:hAnsi="宋体" w:cs="Segoe UI" w:hint="eastAsia"/>
          <w:color w:val="404040"/>
          <w:szCs w:val="21"/>
          <w:shd w:val="clear" w:color="auto" w:fill="FFFFFF"/>
        </w:rPr>
        <w:t>：多元评价体系通过内部（师生）与外部（毕业生、用人单位）结合的评价，生成精准的数据分析报告，帮助学校发现问题，追溯问题根源，驱动教学、管理、服务各部门实施针对性改进，形成持续改进的自我优化机制。</w:t>
      </w:r>
    </w:p>
    <w:p w14:paraId="3BD5D49C" w14:textId="77777777" w:rsidR="00B646BF" w:rsidRDefault="00000000">
      <w:pPr>
        <w:pStyle w:val="4"/>
        <w:widowControl/>
        <w:adjustRightInd w:val="0"/>
        <w:snapToGrid w:val="0"/>
        <w:spacing w:beforeAutospacing="0" w:afterAutospacing="0" w:line="360" w:lineRule="auto"/>
        <w:rPr>
          <w:rFonts w:cs="Segoe UI"/>
          <w:color w:val="404040"/>
          <w:sz w:val="21"/>
          <w:szCs w:val="21"/>
        </w:rPr>
      </w:pPr>
      <w:bookmarkStart w:id="19" w:name="OLE_LINK20"/>
      <w:bookmarkEnd w:id="16"/>
      <w:bookmarkEnd w:id="17"/>
      <w:bookmarkEnd w:id="18"/>
      <w:r>
        <w:rPr>
          <w:sz w:val="21"/>
          <w:szCs w:val="21"/>
        </w:rPr>
        <w:t>二、</w:t>
      </w:r>
      <w:r>
        <w:rPr>
          <w:rStyle w:val="af4"/>
          <w:rFonts w:cs="Segoe UI" w:hint="default"/>
          <w:b/>
          <w:color w:val="404040"/>
          <w:sz w:val="21"/>
          <w:szCs w:val="21"/>
          <w:shd w:val="clear" w:color="auto" w:fill="FFFFFF"/>
        </w:rPr>
        <w:t>驱动学校内涵发展：从“规模扩张”到“质量跃升”</w:t>
      </w:r>
    </w:p>
    <w:bookmarkEnd w:id="19"/>
    <w:p w14:paraId="154A487B" w14:textId="77777777" w:rsidR="00B646BF" w:rsidRDefault="00000000">
      <w:pPr>
        <w:pStyle w:val="af0"/>
        <w:adjustRightInd w:val="0"/>
        <w:snapToGrid w:val="0"/>
        <w:spacing w:before="0" w:beforeAutospacing="0" w:after="0" w:afterAutospacing="0" w:line="360" w:lineRule="auto"/>
        <w:ind w:firstLineChars="200" w:firstLine="420"/>
        <w:rPr>
          <w:rFonts w:hint="eastAsia"/>
          <w:sz w:val="21"/>
          <w:szCs w:val="21"/>
        </w:rPr>
      </w:pPr>
      <w:r>
        <w:rPr>
          <w:rFonts w:cs="Segoe UI"/>
          <w:color w:val="404040"/>
          <w:sz w:val="21"/>
          <w:szCs w:val="21"/>
          <w:shd w:val="clear" w:color="auto" w:fill="FFFFFF"/>
        </w:rPr>
        <w:t>超越</w:t>
      </w:r>
      <w:r>
        <w:rPr>
          <w:rFonts w:cs="Segoe UI" w:hint="eastAsia"/>
          <w:color w:val="404040"/>
          <w:sz w:val="21"/>
          <w:szCs w:val="21"/>
          <w:shd w:val="clear" w:color="auto" w:fill="FFFFFF"/>
        </w:rPr>
        <w:t>院校</w:t>
      </w:r>
      <w:r>
        <w:rPr>
          <w:rFonts w:cs="Segoe UI"/>
          <w:color w:val="404040"/>
          <w:sz w:val="21"/>
          <w:szCs w:val="21"/>
          <w:shd w:val="clear" w:color="auto" w:fill="FFFFFF"/>
        </w:rPr>
        <w:t>评估的短期效用，多元评价监测体系的核心价值在于其为民办高校</w:t>
      </w:r>
      <w:r>
        <w:rPr>
          <w:rStyle w:val="af4"/>
          <w:rFonts w:cs="Segoe UI"/>
          <w:bCs/>
          <w:color w:val="404040"/>
          <w:sz w:val="21"/>
          <w:szCs w:val="21"/>
          <w:shd w:val="clear" w:color="auto" w:fill="FFFFFF"/>
        </w:rPr>
        <w:t>内涵发展</w:t>
      </w:r>
      <w:r>
        <w:rPr>
          <w:rFonts w:cs="Segoe UI"/>
          <w:color w:val="404040"/>
          <w:sz w:val="21"/>
          <w:szCs w:val="21"/>
          <w:shd w:val="clear" w:color="auto" w:fill="FFFFFF"/>
        </w:rPr>
        <w:t>所提供的深层动力：</w:t>
      </w:r>
    </w:p>
    <w:p w14:paraId="7AE7FF54" w14:textId="77777777" w:rsidR="00B646BF" w:rsidRDefault="00000000">
      <w:pPr>
        <w:numPr>
          <w:ilvl w:val="0"/>
          <w:numId w:val="3"/>
        </w:numPr>
        <w:adjustRightInd w:val="0"/>
        <w:snapToGrid w:val="0"/>
        <w:spacing w:line="360" w:lineRule="auto"/>
        <w:rPr>
          <w:rStyle w:val="af4"/>
          <w:rFonts w:ascii="宋体" w:eastAsia="宋体" w:hAnsi="宋体" w:cs="Segoe UI" w:hint="eastAsia"/>
          <w:b w:val="0"/>
          <w:color w:val="404040"/>
          <w:kern w:val="0"/>
          <w:sz w:val="24"/>
          <w:szCs w:val="21"/>
          <w:shd w:val="clear" w:color="auto" w:fill="FFFFFF"/>
        </w:rPr>
      </w:pPr>
      <w:bookmarkStart w:id="20" w:name="OLE_LINK29"/>
      <w:bookmarkStart w:id="21" w:name="OLE_LINK37"/>
      <w:bookmarkStart w:id="22" w:name="OLE_LINK28"/>
      <w:bookmarkStart w:id="23" w:name="OLE_LINK16"/>
      <w:r>
        <w:rPr>
          <w:rStyle w:val="af4"/>
          <w:rFonts w:ascii="宋体" w:eastAsia="宋体" w:hAnsi="宋体" w:cs="Segoe UI"/>
          <w:bCs/>
          <w:color w:val="404040"/>
          <w:szCs w:val="21"/>
          <w:shd w:val="clear" w:color="auto" w:fill="FFFFFF"/>
        </w:rPr>
        <w:t>引领办学定位与专业结构优化</w:t>
      </w:r>
      <w:bookmarkEnd w:id="20"/>
      <w:r>
        <w:rPr>
          <w:rStyle w:val="af4"/>
          <w:rFonts w:ascii="宋体" w:eastAsia="宋体" w:hAnsi="宋体" w:cs="Segoe UI"/>
          <w:bCs/>
          <w:color w:val="404040"/>
          <w:szCs w:val="21"/>
          <w:shd w:val="clear" w:color="auto" w:fill="FFFFFF"/>
        </w:rPr>
        <w:t>：</w:t>
      </w:r>
      <w:r>
        <w:rPr>
          <w:rFonts w:ascii="宋体" w:eastAsia="宋体" w:hAnsi="宋体" w:cs="Segoe UI"/>
          <w:color w:val="404040"/>
          <w:szCs w:val="21"/>
          <w:shd w:val="clear" w:color="auto" w:fill="FFFFFF"/>
        </w:rPr>
        <w:t>多元评价所提供的市场需求反馈、毕业生就业质量分析以及用人单位满意度数据，为学校调整专业设置、修订培养方案、优化课程体系提供了最直接、最客观的依据，助力学校精准把握社会需求，明确办学定位，找准发展方向。</w:t>
      </w:r>
      <w:bookmarkStart w:id="24" w:name="OLE_LINK39"/>
      <w:r>
        <w:rPr>
          <w:rFonts w:ascii="宋体" w:eastAsia="宋体" w:hAnsi="宋体" w:cs="Segoe UI" w:hint="eastAsia"/>
          <w:color w:val="404040"/>
          <w:szCs w:val="21"/>
          <w:shd w:val="clear" w:color="auto" w:fill="FFFFFF"/>
        </w:rPr>
        <w:t>同时，</w:t>
      </w:r>
      <w:r>
        <w:rPr>
          <w:rFonts w:ascii="宋体" w:eastAsia="宋体" w:hAnsi="宋体" w:cs="Segoe UI"/>
          <w:color w:val="404040"/>
          <w:szCs w:val="21"/>
          <w:shd w:val="clear" w:color="auto" w:fill="FFFFFF"/>
        </w:rPr>
        <w:t>为贯彻落实深化教育评价改革要求，更好地配合学校开展专业评估与优化工作，本项目聚焦专业层面，对多维</w:t>
      </w:r>
      <w:proofErr w:type="gramStart"/>
      <w:r>
        <w:rPr>
          <w:rFonts w:ascii="宋体" w:eastAsia="宋体" w:hAnsi="宋体" w:cs="Segoe UI"/>
          <w:color w:val="404040"/>
          <w:szCs w:val="21"/>
          <w:shd w:val="clear" w:color="auto" w:fill="FFFFFF"/>
        </w:rPr>
        <w:t>度数据</w:t>
      </w:r>
      <w:proofErr w:type="gramEnd"/>
      <w:r>
        <w:rPr>
          <w:rFonts w:ascii="宋体" w:eastAsia="宋体" w:hAnsi="宋体" w:cs="Segoe UI"/>
          <w:color w:val="404040"/>
          <w:szCs w:val="21"/>
          <w:shd w:val="clear" w:color="auto" w:fill="FFFFFF"/>
        </w:rPr>
        <w:t>进行综合分析，为各专业的持续改进提供数据支撑与决策依据</w:t>
      </w:r>
      <w:r>
        <w:rPr>
          <w:rFonts w:ascii="宋体" w:eastAsia="宋体" w:hAnsi="宋体" w:cs="Segoe UI" w:hint="eastAsia"/>
          <w:color w:val="404040"/>
          <w:szCs w:val="21"/>
          <w:shd w:val="clear" w:color="auto" w:fill="FFFFFF"/>
        </w:rPr>
        <w:t>，帮助学校动态调整专业布局，确保人才培养与社会需求紧密对接，提升教育适配度。</w:t>
      </w:r>
      <w:bookmarkEnd w:id="24"/>
    </w:p>
    <w:bookmarkEnd w:id="21"/>
    <w:bookmarkEnd w:id="22"/>
    <w:p w14:paraId="5A985C30" w14:textId="77777777" w:rsidR="00B646BF" w:rsidRDefault="00000000">
      <w:pPr>
        <w:numPr>
          <w:ilvl w:val="0"/>
          <w:numId w:val="3"/>
        </w:numPr>
        <w:adjustRightInd w:val="0"/>
        <w:snapToGrid w:val="0"/>
        <w:spacing w:line="360" w:lineRule="auto"/>
        <w:rPr>
          <w:rStyle w:val="af4"/>
          <w:rFonts w:ascii="宋体" w:eastAsia="宋体" w:hAnsi="宋体" w:cs="Segoe UI" w:hint="eastAsia"/>
          <w:b w:val="0"/>
          <w:color w:val="404040"/>
          <w:szCs w:val="21"/>
          <w:shd w:val="clear" w:color="auto" w:fill="FFFFFF"/>
        </w:rPr>
      </w:pPr>
      <w:r>
        <w:rPr>
          <w:rStyle w:val="af4"/>
          <w:rFonts w:ascii="宋体" w:eastAsia="宋体" w:hAnsi="宋体" w:cs="Segoe UI"/>
          <w:bCs/>
          <w:color w:val="404040"/>
          <w:szCs w:val="21"/>
          <w:shd w:val="clear" w:color="auto" w:fill="FFFFFF"/>
        </w:rPr>
        <w:t>赋能教学过程与人才培养模式改革：</w:t>
      </w:r>
      <w:r>
        <w:rPr>
          <w:rStyle w:val="af4"/>
          <w:rFonts w:ascii="宋体" w:eastAsia="宋体" w:hAnsi="宋体" w:cs="Segoe UI"/>
          <w:b w:val="0"/>
          <w:color w:val="404040"/>
          <w:szCs w:val="21"/>
          <w:shd w:val="clear" w:color="auto" w:fill="FFFFFF"/>
        </w:rPr>
        <w:t>多元评价（如</w:t>
      </w:r>
      <w:r>
        <w:rPr>
          <w:rStyle w:val="af4"/>
          <w:rFonts w:ascii="宋体" w:eastAsia="宋体" w:hAnsi="宋体" w:cs="Segoe UI" w:hint="eastAsia"/>
          <w:b w:val="0"/>
          <w:color w:val="404040"/>
          <w:szCs w:val="21"/>
          <w:shd w:val="clear" w:color="auto" w:fill="FFFFFF"/>
        </w:rPr>
        <w:t>在校生评价、教师评价、毕业生评价</w:t>
      </w:r>
      <w:r>
        <w:rPr>
          <w:rStyle w:val="af4"/>
          <w:rFonts w:ascii="宋体" w:eastAsia="宋体" w:hAnsi="宋体" w:cs="Segoe UI"/>
          <w:b w:val="0"/>
          <w:color w:val="404040"/>
          <w:szCs w:val="21"/>
          <w:shd w:val="clear" w:color="auto" w:fill="FFFFFF"/>
        </w:rPr>
        <w:t>）</w:t>
      </w:r>
      <w:r>
        <w:rPr>
          <w:rStyle w:val="af4"/>
          <w:rFonts w:ascii="宋体" w:eastAsia="宋体" w:hAnsi="宋体" w:cs="Segoe UI"/>
          <w:b w:val="0"/>
          <w:color w:val="404040"/>
          <w:szCs w:val="21"/>
          <w:shd w:val="clear" w:color="auto" w:fill="FFFFFF"/>
        </w:rPr>
        <w:lastRenderedPageBreak/>
        <w:t>能精准揭示课堂教学、实践教学、学生指导等环节的优势与短板</w:t>
      </w:r>
      <w:r>
        <w:rPr>
          <w:rStyle w:val="af4"/>
          <w:rFonts w:ascii="宋体" w:eastAsia="宋体" w:hAnsi="宋体" w:cs="Segoe UI" w:hint="eastAsia"/>
          <w:b w:val="0"/>
          <w:color w:val="404040"/>
          <w:szCs w:val="21"/>
          <w:shd w:val="clear" w:color="auto" w:fill="FFFFFF"/>
        </w:rPr>
        <w:t>，通过数据反馈</w:t>
      </w:r>
      <w:r>
        <w:rPr>
          <w:rStyle w:val="af4"/>
          <w:rFonts w:ascii="宋体" w:eastAsia="宋体" w:hAnsi="宋体" w:cs="Segoe UI"/>
          <w:b w:val="0"/>
          <w:color w:val="404040"/>
          <w:szCs w:val="21"/>
          <w:shd w:val="clear" w:color="auto" w:fill="FFFFFF"/>
        </w:rPr>
        <w:t>直接驱动教师更新教学内容、改进教学方法，推动学校深化产教融合，创新人才培养模式，提升学生</w:t>
      </w:r>
      <w:r>
        <w:rPr>
          <w:rStyle w:val="af4"/>
          <w:rFonts w:ascii="宋体" w:eastAsia="宋体" w:hAnsi="宋体" w:cs="Segoe UI" w:hint="eastAsia"/>
          <w:b w:val="0"/>
          <w:color w:val="404040"/>
          <w:szCs w:val="21"/>
          <w:shd w:val="clear" w:color="auto" w:fill="FFFFFF"/>
        </w:rPr>
        <w:t>就业竞争力</w:t>
      </w:r>
      <w:r>
        <w:rPr>
          <w:rStyle w:val="af4"/>
          <w:rFonts w:ascii="宋体" w:eastAsia="宋体" w:hAnsi="宋体" w:cs="Segoe UI"/>
          <w:b w:val="0"/>
          <w:color w:val="404040"/>
          <w:szCs w:val="21"/>
          <w:shd w:val="clear" w:color="auto" w:fill="FFFFFF"/>
        </w:rPr>
        <w:t>。</w:t>
      </w:r>
    </w:p>
    <w:p w14:paraId="2C87F0BA" w14:textId="77777777" w:rsidR="00B646BF" w:rsidRDefault="00000000">
      <w:pPr>
        <w:widowControl/>
        <w:numPr>
          <w:ilvl w:val="0"/>
          <w:numId w:val="3"/>
        </w:numPr>
        <w:adjustRightInd w:val="0"/>
        <w:snapToGrid w:val="0"/>
        <w:spacing w:before="60" w:afterAutospacing="1" w:line="360" w:lineRule="auto"/>
        <w:rPr>
          <w:rStyle w:val="af4"/>
          <w:rFonts w:eastAsia="宋体" w:cstheme="minorHAnsi"/>
          <w:b w:val="0"/>
        </w:rPr>
      </w:pPr>
      <w:r>
        <w:rPr>
          <w:rStyle w:val="af4"/>
          <w:rFonts w:ascii="宋体" w:eastAsia="宋体" w:hAnsi="宋体" w:cs="Segoe UI"/>
          <w:bCs/>
          <w:color w:val="404040"/>
          <w:szCs w:val="21"/>
          <w:shd w:val="clear" w:color="auto" w:fill="FFFFFF"/>
        </w:rPr>
        <w:t>激活“招生-培养-就业”联动</w:t>
      </w:r>
      <w:r>
        <w:rPr>
          <w:rStyle w:val="af4"/>
          <w:rFonts w:ascii="宋体" w:eastAsia="宋体" w:hAnsi="宋体" w:cs="Segoe UI" w:hint="eastAsia"/>
          <w:bCs/>
          <w:color w:val="404040"/>
          <w:szCs w:val="21"/>
          <w:shd w:val="clear" w:color="auto" w:fill="FFFFFF"/>
        </w:rPr>
        <w:t>机制：</w:t>
      </w:r>
      <w:bookmarkStart w:id="25" w:name="OLE_LINK17"/>
      <w:r>
        <w:rPr>
          <w:rFonts w:ascii="宋体" w:eastAsia="宋体" w:hAnsi="宋体" w:cs="Segoe UI"/>
          <w:color w:val="404040"/>
          <w:szCs w:val="21"/>
          <w:shd w:val="clear" w:color="auto" w:fill="FFFFFF"/>
        </w:rPr>
        <w:t>多元评价监测体系整合生源与就业数据，构建人才培养全流程动态反馈机制。招生数据反映社会需求与专业吸引力，科学指导招生计划与专业结构调整；就业数据检验培养成效，逆向优化课程、实践教学与师资发展。二者形成“入口-出口”数据闭环，推动专业与产业对接、教学与标准融合，实现生源、培养与就业质量同步提升，赋能高</w:t>
      </w:r>
      <w:r>
        <w:rPr>
          <w:rFonts w:eastAsia="宋体" w:cstheme="minorHAnsi"/>
          <w:color w:val="404040"/>
          <w:szCs w:val="21"/>
          <w:shd w:val="clear" w:color="auto" w:fill="FFFFFF"/>
        </w:rPr>
        <w:t>校可持续发展</w:t>
      </w:r>
      <w:r>
        <w:rPr>
          <w:rStyle w:val="af4"/>
          <w:rFonts w:eastAsia="宋体" w:cstheme="minorHAnsi"/>
          <w:b w:val="0"/>
          <w:color w:val="404040"/>
          <w:szCs w:val="21"/>
          <w:shd w:val="clear" w:color="auto" w:fill="FFFFFF"/>
        </w:rPr>
        <w:t>。</w:t>
      </w:r>
      <w:bookmarkEnd w:id="23"/>
      <w:bookmarkEnd w:id="25"/>
    </w:p>
    <w:p w14:paraId="6035F216" w14:textId="77777777" w:rsidR="00B646BF" w:rsidRDefault="00000000">
      <w:pPr>
        <w:spacing w:beforeLines="50" w:before="120" w:line="360" w:lineRule="auto"/>
        <w:ind w:firstLineChars="200" w:firstLine="420"/>
        <w:rPr>
          <w:rFonts w:ascii="宋体" w:eastAsia="宋体" w:hAnsi="宋体" w:cs="宋体" w:hint="eastAsia"/>
          <w:kern w:val="0"/>
          <w:szCs w:val="21"/>
        </w:rPr>
      </w:pPr>
      <w:r>
        <w:rPr>
          <w:rFonts w:eastAsia="宋体" w:cstheme="minorHAnsi"/>
          <w:kern w:val="0"/>
          <w:szCs w:val="21"/>
        </w:rPr>
        <w:t>此外，为落实《教育强国建设规划纲要（</w:t>
      </w:r>
      <w:r>
        <w:rPr>
          <w:rFonts w:eastAsia="宋体" w:cstheme="minorHAnsi"/>
          <w:kern w:val="0"/>
          <w:szCs w:val="21"/>
        </w:rPr>
        <w:t>2024-2035</w:t>
      </w:r>
      <w:r>
        <w:rPr>
          <w:rFonts w:eastAsia="宋体" w:cstheme="minorHAnsi"/>
          <w:kern w:val="0"/>
          <w:szCs w:val="21"/>
        </w:rPr>
        <w:t>年）》目标要求，</w:t>
      </w:r>
      <w:r>
        <w:rPr>
          <w:rFonts w:ascii="宋体" w:eastAsia="宋体" w:hAnsi="宋体" w:cs="宋体" w:hint="eastAsia"/>
          <w:kern w:val="0"/>
          <w:szCs w:val="21"/>
        </w:rPr>
        <w:t>加快建设教育强国三年行动计划关于深化教育评价改革，为更好配合学校进行专业评估及专业优化，本项目提供专业层面多维数据综合分析报告。</w:t>
      </w:r>
    </w:p>
    <w:p w14:paraId="762ACAD6" w14:textId="77777777" w:rsidR="00B646BF" w:rsidRDefault="00000000">
      <w:pPr>
        <w:adjustRightInd w:val="0"/>
        <w:snapToGrid w:val="0"/>
        <w:spacing w:beforeLines="50" w:before="120" w:afterLines="50" w:after="120" w:line="360" w:lineRule="auto"/>
        <w:outlineLvl w:val="0"/>
        <w:rPr>
          <w:rFonts w:ascii="宋体" w:eastAsia="宋体" w:hAnsi="宋体" w:hint="eastAsia"/>
          <w:b/>
          <w:color w:val="4BACC6"/>
          <w:sz w:val="32"/>
        </w:rPr>
      </w:pPr>
      <w:bookmarkStart w:id="26" w:name="OLE_LINK86"/>
      <w:r>
        <w:rPr>
          <w:rFonts w:ascii="宋体" w:eastAsia="宋体" w:hAnsi="宋体" w:hint="eastAsia"/>
          <w:b/>
          <w:color w:val="4BACC6"/>
          <w:sz w:val="32"/>
        </w:rPr>
        <w:t>项目内容</w:t>
      </w:r>
    </w:p>
    <w:p w14:paraId="45A873CA" w14:textId="339226F0" w:rsidR="00B646BF" w:rsidRDefault="00000000" w:rsidP="005C0E32">
      <w:pPr>
        <w:adjustRightInd w:val="0"/>
        <w:snapToGrid w:val="0"/>
        <w:spacing w:line="360" w:lineRule="auto"/>
        <w:ind w:firstLineChars="200" w:firstLine="420"/>
        <w:rPr>
          <w:rFonts w:ascii="宋体" w:eastAsia="宋体" w:hAnsi="宋体" w:hint="eastAsia"/>
        </w:rPr>
      </w:pPr>
      <w:bookmarkStart w:id="27" w:name="OLE_LINK34"/>
      <w:bookmarkStart w:id="28" w:name="OLE_LINK88"/>
      <w:r>
        <w:rPr>
          <w:rFonts w:ascii="宋体" w:eastAsia="宋体" w:hAnsi="宋体"/>
        </w:rPr>
        <w:t>本项目协助民办院校搭建基于利益相关方反馈的常态化教育教学质量监测体系，紧密围绕应用型人才培养目标和民办高校发展实际，针对生源</w:t>
      </w:r>
      <w:r>
        <w:rPr>
          <w:rFonts w:ascii="宋体" w:eastAsia="宋体" w:hAnsi="宋体" w:hint="eastAsia"/>
        </w:rPr>
        <w:t>竞争</w:t>
      </w:r>
      <w:r>
        <w:rPr>
          <w:rFonts w:ascii="宋体" w:eastAsia="宋体" w:hAnsi="宋体"/>
        </w:rPr>
        <w:t>、师资结构、产教融合等现实挑战，开展</w:t>
      </w:r>
      <w:bookmarkStart w:id="29" w:name="_Hlk206692070"/>
      <w:r>
        <w:rPr>
          <w:rFonts w:ascii="宋体" w:eastAsia="宋体" w:hAnsi="宋体" w:hint="eastAsia"/>
        </w:rPr>
        <w:t>生源与招生</w:t>
      </w:r>
      <w:bookmarkEnd w:id="29"/>
      <w:r>
        <w:rPr>
          <w:rFonts w:ascii="宋体" w:eastAsia="宋体" w:hAnsi="宋体" w:hint="eastAsia"/>
        </w:rPr>
        <w:t>评价、</w:t>
      </w:r>
      <w:r>
        <w:rPr>
          <w:rFonts w:ascii="宋体" w:eastAsia="宋体" w:hAnsi="宋体"/>
        </w:rPr>
        <w:t>学习体验与成长、教师教学与发展、毕业生培养质量、中长期发展及用人单位评价等多项调研。通过持续积累在校生学习体验、教师教学反馈、满意度及就业质量等数据，构建符合民办院校特色的动态监测机制，为教育教学改进、专业优化和</w:t>
      </w:r>
      <w:proofErr w:type="gramStart"/>
      <w:r>
        <w:rPr>
          <w:rFonts w:ascii="宋体" w:eastAsia="宋体" w:hAnsi="宋体"/>
        </w:rPr>
        <w:t>校企</w:t>
      </w:r>
      <w:proofErr w:type="gramEnd"/>
      <w:r>
        <w:rPr>
          <w:rFonts w:ascii="宋体" w:eastAsia="宋体" w:hAnsi="宋体"/>
        </w:rPr>
        <w:t>协同育人提供精准、可持续的数据支持和决策依据。具体内容如下：</w:t>
      </w:r>
    </w:p>
    <w:p w14:paraId="29C68A05" w14:textId="77777777" w:rsidR="00B646BF" w:rsidRDefault="00000000">
      <w:pPr>
        <w:pStyle w:val="af9"/>
        <w:numPr>
          <w:ilvl w:val="0"/>
          <w:numId w:val="4"/>
        </w:numPr>
        <w:adjustRightInd w:val="0"/>
        <w:snapToGrid w:val="0"/>
        <w:spacing w:before="120" w:after="120" w:line="360" w:lineRule="auto"/>
        <w:ind w:left="902" w:firstLineChars="0"/>
        <w:rPr>
          <w:rFonts w:ascii="宋体" w:eastAsia="宋体" w:hAnsi="宋体" w:hint="eastAsia"/>
          <w:b/>
          <w:bCs/>
          <w:sz w:val="24"/>
          <w:szCs w:val="24"/>
        </w:rPr>
      </w:pPr>
      <w:bookmarkStart w:id="30" w:name="OLE_LINK26"/>
      <w:bookmarkStart w:id="31" w:name="OLE_LINK25"/>
      <w:bookmarkEnd w:id="27"/>
      <w:r>
        <w:rPr>
          <w:rFonts w:ascii="宋体" w:eastAsia="宋体" w:hAnsi="宋体" w:hint="eastAsia"/>
          <w:b/>
          <w:bCs/>
          <w:sz w:val="24"/>
          <w:szCs w:val="24"/>
        </w:rPr>
        <w:t>生源与招生评价</w:t>
      </w:r>
      <w:bookmarkEnd w:id="30"/>
    </w:p>
    <w:p w14:paraId="2FAD408E" w14:textId="77777777" w:rsidR="00B646BF" w:rsidRDefault="00000000">
      <w:pPr>
        <w:adjustRightInd w:val="0"/>
        <w:snapToGrid w:val="0"/>
        <w:spacing w:before="240" w:after="240" w:line="360" w:lineRule="auto"/>
        <w:ind w:firstLineChars="200" w:firstLine="420"/>
        <w:rPr>
          <w:rFonts w:ascii="宋体" w:eastAsia="宋体" w:hAnsi="宋体" w:hint="eastAsia"/>
          <w:b/>
          <w:bCs/>
          <w:sz w:val="24"/>
          <w:szCs w:val="24"/>
        </w:rPr>
      </w:pPr>
      <w:r>
        <w:rPr>
          <w:rFonts w:ascii="宋体" w:eastAsia="宋体" w:hAnsi="宋体"/>
        </w:rPr>
        <w:t>本项目基于民办高校招生实际，</w:t>
      </w:r>
      <w:r>
        <w:rPr>
          <w:rFonts w:ascii="宋体" w:eastAsia="宋体" w:hAnsi="宋体" w:hint="eastAsia"/>
        </w:rPr>
        <w:t>针对</w:t>
      </w:r>
      <w:r>
        <w:rPr>
          <w:rFonts w:ascii="宋体" w:eastAsia="宋体" w:hAnsi="宋体"/>
        </w:rPr>
        <w:t>生源市场竞争激烈的现实挑战，通过构建数据驱动的招生评价体系，助力学校在激烈</w:t>
      </w:r>
      <w:r>
        <w:rPr>
          <w:rFonts w:ascii="宋体" w:eastAsia="宋体" w:hAnsi="宋体" w:hint="eastAsia"/>
        </w:rPr>
        <w:t>招生</w:t>
      </w:r>
      <w:r>
        <w:rPr>
          <w:rFonts w:ascii="宋体" w:eastAsia="宋体" w:hAnsi="宋体"/>
        </w:rPr>
        <w:t>竞争中精准定位、优化策略、提升招生成效。项目结合</w:t>
      </w:r>
      <w:r>
        <w:rPr>
          <w:rFonts w:ascii="宋体" w:eastAsia="宋体" w:hAnsi="宋体" w:hint="eastAsia"/>
        </w:rPr>
        <w:t>院校</w:t>
      </w:r>
      <w:r>
        <w:rPr>
          <w:rFonts w:ascii="宋体" w:eastAsia="宋体" w:hAnsi="宋体"/>
        </w:rPr>
        <w:t>评估和专业认证要求，聚焦生源质量分析、</w:t>
      </w:r>
      <w:r>
        <w:rPr>
          <w:rFonts w:ascii="宋体" w:eastAsia="宋体" w:hAnsi="宋体" w:hint="eastAsia"/>
        </w:rPr>
        <w:t>招生竞争</w:t>
      </w:r>
      <w:proofErr w:type="gramStart"/>
      <w:r>
        <w:rPr>
          <w:rFonts w:ascii="宋体" w:eastAsia="宋体" w:hAnsi="宋体"/>
        </w:rPr>
        <w:t>研</w:t>
      </w:r>
      <w:proofErr w:type="gramEnd"/>
      <w:r>
        <w:rPr>
          <w:rFonts w:ascii="宋体" w:eastAsia="宋体" w:hAnsi="宋体"/>
        </w:rPr>
        <w:t>判、</w:t>
      </w:r>
      <w:r>
        <w:rPr>
          <w:rFonts w:ascii="宋体" w:eastAsia="宋体" w:hAnsi="宋体" w:hint="eastAsia"/>
        </w:rPr>
        <w:t>招生</w:t>
      </w:r>
      <w:r>
        <w:rPr>
          <w:rFonts w:ascii="宋体" w:eastAsia="宋体" w:hAnsi="宋体"/>
        </w:rPr>
        <w:t>宣传</w:t>
      </w:r>
      <w:r>
        <w:rPr>
          <w:rFonts w:ascii="宋体" w:eastAsia="宋体" w:hAnsi="宋体" w:hint="eastAsia"/>
        </w:rPr>
        <w:t>效果</w:t>
      </w:r>
      <w:r>
        <w:rPr>
          <w:rFonts w:ascii="宋体" w:eastAsia="宋体" w:hAnsi="宋体"/>
        </w:rPr>
        <w:t>评估及新生需求洞察，为民办院校招生工作的精细化和专业化提供持续支持</w:t>
      </w:r>
      <w:r>
        <w:rPr>
          <w:rFonts w:ascii="宋体" w:eastAsia="宋体" w:hAnsi="宋体" w:hint="eastAsia"/>
        </w:rPr>
        <w:t>。评价的核心价值：</w:t>
      </w:r>
    </w:p>
    <w:p w14:paraId="0067F638"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b/>
          <w:bCs/>
        </w:rPr>
        <w:t>【生源质量监测】</w:t>
      </w:r>
      <w:r>
        <w:rPr>
          <w:rFonts w:ascii="宋体" w:eastAsia="宋体" w:hAnsi="宋体"/>
        </w:rPr>
        <w:t>跟踪报考率、报到率及优质生源特征，为优化招生渠道、提升生源</w:t>
      </w:r>
      <w:r>
        <w:rPr>
          <w:rFonts w:ascii="宋体" w:eastAsia="宋体" w:hAnsi="宋体" w:hint="eastAsia"/>
        </w:rPr>
        <w:t>质量</w:t>
      </w:r>
      <w:r>
        <w:rPr>
          <w:rFonts w:ascii="宋体" w:eastAsia="宋体" w:hAnsi="宋体"/>
        </w:rPr>
        <w:t>提供依据；</w:t>
      </w:r>
    </w:p>
    <w:p w14:paraId="2F5D790B"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b/>
          <w:bCs/>
        </w:rPr>
        <w:t>【招生竞争分析】</w:t>
      </w:r>
      <w:r>
        <w:rPr>
          <w:rFonts w:ascii="宋体" w:eastAsia="宋体" w:hAnsi="宋体"/>
        </w:rPr>
        <w:t>识别同层次竞争院校，明确本校竞争优势与短板，支持差异化招生</w:t>
      </w:r>
      <w:r>
        <w:rPr>
          <w:rFonts w:ascii="宋体" w:eastAsia="宋体" w:hAnsi="宋体"/>
        </w:rPr>
        <w:lastRenderedPageBreak/>
        <w:t>策略制定；</w:t>
      </w:r>
    </w:p>
    <w:p w14:paraId="2FF96567"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b/>
          <w:bCs/>
        </w:rPr>
        <w:t>【宣传效果评估】</w:t>
      </w:r>
      <w:r>
        <w:rPr>
          <w:rFonts w:ascii="宋体" w:eastAsia="宋体" w:hAnsi="宋体"/>
        </w:rPr>
        <w:t>分析各类</w:t>
      </w:r>
      <w:r>
        <w:rPr>
          <w:rFonts w:ascii="宋体" w:eastAsia="宋体" w:hAnsi="宋体" w:hint="eastAsia"/>
        </w:rPr>
        <w:t>招生</w:t>
      </w:r>
      <w:r>
        <w:rPr>
          <w:rFonts w:ascii="宋体" w:eastAsia="宋体" w:hAnsi="宋体"/>
        </w:rPr>
        <w:t>渠道宣传效果，推动招生宣传精准投放与优化；</w:t>
      </w:r>
    </w:p>
    <w:p w14:paraId="0DB3F072"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b/>
          <w:bCs/>
        </w:rPr>
        <w:t>【新生需求洞察】</w:t>
      </w:r>
      <w:r>
        <w:rPr>
          <w:rFonts w:ascii="宋体" w:eastAsia="宋体" w:hAnsi="宋体"/>
        </w:rPr>
        <w:t>调研生源报考动机、专业选择因素及就读期待，辅助</w:t>
      </w:r>
      <w:r>
        <w:rPr>
          <w:rFonts w:ascii="宋体" w:eastAsia="宋体" w:hAnsi="宋体" w:hint="eastAsia"/>
        </w:rPr>
        <w:t>教学培养</w:t>
      </w:r>
      <w:r>
        <w:rPr>
          <w:rFonts w:ascii="宋体" w:eastAsia="宋体" w:hAnsi="宋体"/>
        </w:rPr>
        <w:t>与迎新服务的持续改进。</w:t>
      </w:r>
    </w:p>
    <w:p w14:paraId="3DF69213" w14:textId="77777777" w:rsidR="00B646BF" w:rsidRDefault="00000000">
      <w:pPr>
        <w:pStyle w:val="af9"/>
        <w:numPr>
          <w:ilvl w:val="0"/>
          <w:numId w:val="4"/>
        </w:numPr>
        <w:adjustRightInd w:val="0"/>
        <w:snapToGrid w:val="0"/>
        <w:spacing w:before="120" w:after="120" w:line="360" w:lineRule="auto"/>
        <w:ind w:left="902" w:firstLineChars="0"/>
        <w:rPr>
          <w:rFonts w:ascii="宋体" w:eastAsia="宋体" w:hAnsi="宋体" w:hint="eastAsia"/>
          <w:b/>
          <w:bCs/>
          <w:sz w:val="24"/>
          <w:szCs w:val="24"/>
        </w:rPr>
      </w:pPr>
      <w:r>
        <w:rPr>
          <w:rFonts w:ascii="宋体" w:eastAsia="宋体" w:hAnsi="宋体" w:hint="eastAsia"/>
          <w:b/>
          <w:bCs/>
          <w:sz w:val="24"/>
          <w:szCs w:val="24"/>
        </w:rPr>
        <w:t>学习体验与成长评价</w:t>
      </w:r>
    </w:p>
    <w:p w14:paraId="610BD95A" w14:textId="77777777" w:rsidR="00B646BF" w:rsidRDefault="00000000">
      <w:pPr>
        <w:adjustRightInd w:val="0"/>
        <w:snapToGrid w:val="0"/>
        <w:spacing w:line="360" w:lineRule="auto"/>
        <w:ind w:firstLineChars="200" w:firstLine="420"/>
        <w:rPr>
          <w:rFonts w:ascii="宋体" w:eastAsia="宋体" w:hAnsi="宋体" w:hint="eastAsia"/>
        </w:rPr>
      </w:pPr>
      <w:bookmarkStart w:id="32" w:name="_Hlk496023622"/>
      <w:r>
        <w:rPr>
          <w:rFonts w:ascii="宋体" w:eastAsia="宋体" w:hAnsi="宋体" w:hint="eastAsia"/>
        </w:rPr>
        <w:t>本项目立足民办本科院校生源特点及应用型人才培养定位，依托在校生评价数据，结合学校年报、毕业生追踪及课程评价等多源信息，构建聚焦学生成长增值与学习体验的全过程学情分析体系。量化学生在能力素养等方面的年度增值成效，揭示培养过程关键影响因素，为民办高校优化实践教学、个性化培养提供实证依据。项目会呈现各院系学生学习投入度、专业认同感及技能掌握情况，结合课程内容与教学行为评价，为教育教学过程持续改进提供依据，支持民办高校建立特色化教学质量保障机制。评价的核心价值：</w:t>
      </w:r>
    </w:p>
    <w:p w14:paraId="1E9E32F4"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hint="eastAsia"/>
          <w:b/>
          <w:bCs/>
        </w:rPr>
        <w:t>【增值评价】</w:t>
      </w:r>
      <w:r>
        <w:rPr>
          <w:rFonts w:ascii="宋体" w:eastAsia="宋体" w:hAnsi="宋体" w:hint="eastAsia"/>
        </w:rPr>
        <w:t>跟踪学生年度成长与能力增值，量化培养成效，为优化教学和个性化培养提供依据，展示育人实效；</w:t>
      </w:r>
    </w:p>
    <w:p w14:paraId="36158BA4"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hint="eastAsia"/>
          <w:b/>
          <w:bCs/>
        </w:rPr>
        <w:t>【学情分析】</w:t>
      </w:r>
      <w:r>
        <w:rPr>
          <w:rFonts w:ascii="宋体" w:eastAsia="宋体" w:hAnsi="宋体" w:hint="eastAsia"/>
        </w:rPr>
        <w:t>掌握学生学习投入及专业认知认同情况，形成各院系学情画像，支持差异化教学管理；</w:t>
      </w:r>
    </w:p>
    <w:p w14:paraId="739AD39D"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hint="eastAsia"/>
          <w:b/>
          <w:bCs/>
        </w:rPr>
        <w:t>【教学质量保障】</w:t>
      </w:r>
      <w:r>
        <w:rPr>
          <w:rFonts w:ascii="宋体" w:eastAsia="宋体" w:hAnsi="宋体" w:hint="eastAsia"/>
        </w:rPr>
        <w:t>结合其他专项调研数据，定位教学薄弱环节，推动课堂教学改革；</w:t>
      </w:r>
    </w:p>
    <w:p w14:paraId="374EBFAA" w14:textId="77777777" w:rsidR="00B646BF" w:rsidRDefault="00000000">
      <w:pPr>
        <w:pStyle w:val="af9"/>
        <w:numPr>
          <w:ilvl w:val="0"/>
          <w:numId w:val="5"/>
        </w:numPr>
        <w:adjustRightInd w:val="0"/>
        <w:snapToGrid w:val="0"/>
        <w:spacing w:line="360" w:lineRule="auto"/>
        <w:ind w:firstLineChars="0"/>
        <w:rPr>
          <w:rFonts w:ascii="宋体" w:eastAsia="宋体" w:hAnsi="宋体" w:hint="eastAsia"/>
        </w:rPr>
      </w:pPr>
      <w:r>
        <w:rPr>
          <w:rFonts w:ascii="宋体" w:eastAsia="宋体" w:hAnsi="宋体" w:hint="eastAsia"/>
          <w:b/>
          <w:bCs/>
        </w:rPr>
        <w:t>【满意度评估】</w:t>
      </w:r>
      <w:r>
        <w:rPr>
          <w:rFonts w:ascii="宋体" w:eastAsia="宋体" w:hAnsi="宋体" w:hint="eastAsia"/>
        </w:rPr>
        <w:t>全面了解学生对学习体验及成长发展的满意度，增强学习获得感和在校体验。</w:t>
      </w:r>
    </w:p>
    <w:p w14:paraId="72946A40" w14:textId="77777777" w:rsidR="00B646BF" w:rsidRDefault="00000000">
      <w:pPr>
        <w:pStyle w:val="af9"/>
        <w:numPr>
          <w:ilvl w:val="0"/>
          <w:numId w:val="4"/>
        </w:numPr>
        <w:adjustRightInd w:val="0"/>
        <w:snapToGrid w:val="0"/>
        <w:spacing w:before="120" w:after="120" w:line="360" w:lineRule="auto"/>
        <w:ind w:left="902" w:firstLineChars="0"/>
        <w:rPr>
          <w:rFonts w:ascii="宋体" w:eastAsia="宋体" w:hAnsi="宋体" w:hint="eastAsia"/>
          <w:b/>
          <w:bCs/>
          <w:sz w:val="24"/>
          <w:szCs w:val="24"/>
        </w:rPr>
      </w:pPr>
      <w:bookmarkStart w:id="33" w:name="OLE_LINK19"/>
      <w:bookmarkEnd w:id="32"/>
      <w:r>
        <w:rPr>
          <w:rFonts w:ascii="宋体" w:eastAsia="宋体" w:hAnsi="宋体" w:hint="eastAsia"/>
          <w:b/>
          <w:bCs/>
          <w:sz w:val="24"/>
          <w:szCs w:val="24"/>
        </w:rPr>
        <w:t>教师教学与发展评价</w:t>
      </w:r>
    </w:p>
    <w:p w14:paraId="42BD1CD3" w14:textId="77777777" w:rsidR="00B646BF" w:rsidRDefault="00000000">
      <w:pPr>
        <w:adjustRightInd w:val="0"/>
        <w:snapToGrid w:val="0"/>
        <w:spacing w:line="360" w:lineRule="auto"/>
        <w:ind w:firstLineChars="200" w:firstLine="420"/>
        <w:rPr>
          <w:rFonts w:ascii="宋体" w:eastAsia="宋体" w:hAnsi="宋体" w:hint="eastAsia"/>
        </w:rPr>
      </w:pPr>
      <w:bookmarkStart w:id="34" w:name="OLE_LINK35"/>
      <w:r>
        <w:rPr>
          <w:rFonts w:ascii="宋体" w:eastAsia="宋体" w:hAnsi="宋体" w:hint="eastAsia"/>
        </w:rPr>
        <w:t>本项目针对民办高校教师队伍流动性大、教师实践教学能力不足等挑战，构建突出育人导向的多元评价体系，整合教师自评、学生评教等数据，</w:t>
      </w:r>
      <w:r>
        <w:rPr>
          <w:rFonts w:ascii="宋体" w:eastAsia="宋体" w:hAnsi="宋体"/>
        </w:rPr>
        <w:t>全面评估教师在师德师风、教学能力等方面的实际表现。</w:t>
      </w:r>
      <w:r>
        <w:rPr>
          <w:rFonts w:ascii="宋体" w:eastAsia="宋体" w:hAnsi="宋体" w:hint="eastAsia"/>
        </w:rPr>
        <w:t>评价结果为民办高校提升教师教书育人及实践指导能力、完善激励与保障政策提供数据支撑和改进建议。</w:t>
      </w:r>
      <w:bookmarkEnd w:id="33"/>
      <w:r>
        <w:rPr>
          <w:rFonts w:ascii="宋体" w:eastAsia="宋体" w:hAnsi="宋体" w:hint="eastAsia"/>
        </w:rPr>
        <w:t>评价的主要价值：</w:t>
      </w:r>
    </w:p>
    <w:bookmarkEnd w:id="34"/>
    <w:p w14:paraId="2450E786"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【师德师风】</w:t>
      </w:r>
      <w:r>
        <w:rPr>
          <w:rFonts w:ascii="宋体" w:eastAsia="宋体" w:hAnsi="宋体" w:hint="eastAsia"/>
        </w:rPr>
        <w:t>评估教师职业道德与教学行为规范性，支持学校师德师风建设；</w:t>
      </w:r>
    </w:p>
    <w:p w14:paraId="7C04CA07"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b/>
          <w:bCs/>
        </w:rPr>
      </w:pPr>
      <w:r>
        <w:rPr>
          <w:rFonts w:ascii="宋体" w:eastAsia="宋体" w:hAnsi="宋体" w:hint="eastAsia"/>
          <w:b/>
          <w:bCs/>
        </w:rPr>
        <w:t>【教师能力】</w:t>
      </w:r>
      <w:r>
        <w:rPr>
          <w:rFonts w:ascii="宋体" w:eastAsia="宋体" w:hAnsi="宋体" w:hint="eastAsia"/>
        </w:rPr>
        <w:t>诊断教师教学设计、实施及产教融合能力，识别提升路径，推动教师能力提升；</w:t>
      </w:r>
    </w:p>
    <w:p w14:paraId="5EC77423"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【教师投入】</w:t>
      </w:r>
      <w:r>
        <w:rPr>
          <w:rFonts w:ascii="宋体" w:eastAsia="宋体" w:hAnsi="宋体" w:hint="eastAsia"/>
        </w:rPr>
        <w:t>了解教师在教学、学生指导及企业实践等方面的投入程度，反馈民办院校教师激励机制成效；</w:t>
      </w:r>
    </w:p>
    <w:p w14:paraId="24BF5DD3"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lastRenderedPageBreak/>
        <w:t>【教师发展与保障】</w:t>
      </w:r>
      <w:r>
        <w:rPr>
          <w:rFonts w:ascii="宋体" w:eastAsia="宋体" w:hAnsi="宋体" w:hint="eastAsia"/>
        </w:rPr>
        <w:t>了解教师对学校资源支持、职业发展等方面的满意度，助力师资队伍建设与发展。</w:t>
      </w:r>
    </w:p>
    <w:p w14:paraId="5C7F2BD6" w14:textId="77777777" w:rsidR="00B646BF" w:rsidRDefault="00000000">
      <w:pPr>
        <w:pStyle w:val="af9"/>
        <w:numPr>
          <w:ilvl w:val="0"/>
          <w:numId w:val="4"/>
        </w:numPr>
        <w:adjustRightInd w:val="0"/>
        <w:snapToGrid w:val="0"/>
        <w:spacing w:before="120" w:after="120" w:line="360" w:lineRule="auto"/>
        <w:ind w:left="902" w:firstLineChars="0"/>
        <w:rPr>
          <w:rFonts w:ascii="宋体" w:eastAsia="宋体" w:hAnsi="宋体" w:hint="eastAsia"/>
          <w:b/>
          <w:bCs/>
          <w:sz w:val="24"/>
          <w:szCs w:val="24"/>
        </w:rPr>
      </w:pPr>
      <w:bookmarkStart w:id="35" w:name="_Hlk33170526"/>
      <w:r>
        <w:rPr>
          <w:rFonts w:ascii="宋体" w:eastAsia="宋体" w:hAnsi="宋体" w:hint="eastAsia"/>
          <w:b/>
          <w:bCs/>
          <w:sz w:val="24"/>
          <w:szCs w:val="24"/>
        </w:rPr>
        <w:t>毕业生培养质量评价</w:t>
      </w:r>
      <w:bookmarkEnd w:id="35"/>
    </w:p>
    <w:p w14:paraId="15C195D3" w14:textId="77777777" w:rsidR="00B646BF" w:rsidRDefault="00000000">
      <w:pPr>
        <w:adjustRightInd w:val="0"/>
        <w:snapToGrid w:val="0"/>
        <w:spacing w:line="360" w:lineRule="auto"/>
        <w:ind w:firstLineChars="200" w:firstLine="420"/>
        <w:rPr>
          <w:rFonts w:ascii="宋体" w:eastAsia="宋体" w:hAnsi="宋体" w:hint="eastAsia"/>
        </w:rPr>
      </w:pPr>
      <w:bookmarkStart w:id="36" w:name="_Hlk36568824"/>
      <w:bookmarkStart w:id="37" w:name="_Hlk33170537"/>
      <w:r>
        <w:rPr>
          <w:rFonts w:ascii="宋体" w:eastAsia="宋体" w:hAnsi="宋体" w:cstheme="minorHAnsi" w:hint="eastAsia"/>
        </w:rPr>
        <w:t>本项目以应届毕业生评价数据为基础，了解毕业生的短期就业升学质量、人才服务贡献、毕业要求达成情况，同时结合在校生数据</w:t>
      </w:r>
      <w:proofErr w:type="gramStart"/>
      <w:r>
        <w:rPr>
          <w:rFonts w:ascii="宋体" w:eastAsia="宋体" w:hAnsi="宋体" w:cstheme="minorHAnsi" w:hint="eastAsia"/>
        </w:rPr>
        <w:t>和教评数据</w:t>
      </w:r>
      <w:proofErr w:type="gramEnd"/>
      <w:r>
        <w:rPr>
          <w:rFonts w:ascii="宋体" w:eastAsia="宋体" w:hAnsi="宋体" w:cstheme="minorHAnsi" w:hint="eastAsia"/>
        </w:rPr>
        <w:t>，深挖应届毕业生反馈的教学问题。该项目也会结合学校年报数据，为学校提供办学投入、学生产出方面核心指标的常模对比，帮助学校找准所处坐标。</w:t>
      </w:r>
      <w:r>
        <w:rPr>
          <w:rFonts w:ascii="宋体" w:eastAsia="宋体" w:hAnsi="宋体" w:hint="eastAsia"/>
        </w:rPr>
        <w:t>评价的主要价值</w:t>
      </w:r>
      <w:r>
        <w:rPr>
          <w:rFonts w:ascii="宋体" w:eastAsia="宋体" w:hAnsi="宋体"/>
        </w:rPr>
        <w:t>：</w:t>
      </w:r>
    </w:p>
    <w:bookmarkEnd w:id="36"/>
    <w:p w14:paraId="3E9D7467"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【外部综合分析】</w:t>
      </w:r>
      <w:r>
        <w:rPr>
          <w:rFonts w:ascii="宋体" w:eastAsia="宋体" w:hAnsi="宋体" w:hint="eastAsia"/>
        </w:rPr>
        <w:t>引入教学年报数据，综合院校评估要求的办学投入和学生产出核心指标，找准学校在同类院校中所处坐标和发展方向；</w:t>
      </w:r>
    </w:p>
    <w:p w14:paraId="39876876"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b/>
          <w:bCs/>
        </w:rPr>
        <w:t>【社会需求适配度】</w:t>
      </w:r>
      <w:r>
        <w:rPr>
          <w:rFonts w:ascii="宋体" w:eastAsia="宋体" w:hAnsi="宋体" w:hint="eastAsia"/>
        </w:rPr>
        <w:t>洞察新兴产业和区域经济的人才需求变化，分析毕业生在重点产业的就业情况，不断提升人才培养与区域产业发展的适配度；</w:t>
      </w:r>
    </w:p>
    <w:p w14:paraId="1ABF56EE"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【毕业要求达成】</w:t>
      </w:r>
      <w:r>
        <w:rPr>
          <w:rFonts w:ascii="宋体" w:eastAsia="宋体" w:hAnsi="宋体" w:hint="eastAsia"/>
        </w:rPr>
        <w:t>以就业导向反馈知识、能力与素养达成情况，对接行业新要求；</w:t>
      </w:r>
    </w:p>
    <w:p w14:paraId="397696B1"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【教学培养反馈】</w:t>
      </w:r>
      <w:r>
        <w:rPr>
          <w:rFonts w:ascii="宋体" w:eastAsia="宋体" w:hAnsi="宋体" w:hint="eastAsia"/>
        </w:rPr>
        <w:t>对接毕业生工作深造需求，引入在校生评价数据，深挖教学培养问题；</w:t>
      </w:r>
    </w:p>
    <w:p w14:paraId="4DDBCFF8"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b/>
          <w:bCs/>
          <w:sz w:val="24"/>
          <w:szCs w:val="24"/>
        </w:rPr>
      </w:pPr>
      <w:r>
        <w:rPr>
          <w:rFonts w:ascii="宋体" w:eastAsia="宋体" w:hAnsi="宋体" w:hint="eastAsia"/>
          <w:b/>
          <w:bCs/>
        </w:rPr>
        <w:t>【满意度评价】</w:t>
      </w:r>
      <w:r>
        <w:rPr>
          <w:rFonts w:ascii="宋体" w:eastAsia="宋体" w:hAnsi="宋体" w:hint="eastAsia"/>
        </w:rPr>
        <w:t>了解毕业生对学习经历的整体满意度，完善育人闭环</w:t>
      </w:r>
      <w:bookmarkStart w:id="38" w:name="_Hlk33170549"/>
      <w:bookmarkEnd w:id="37"/>
      <w:r>
        <w:rPr>
          <w:rFonts w:ascii="宋体" w:eastAsia="宋体" w:hAnsi="宋体" w:hint="eastAsia"/>
        </w:rPr>
        <w:t>。</w:t>
      </w:r>
    </w:p>
    <w:p w14:paraId="49B146B8" w14:textId="77777777" w:rsidR="00B646BF" w:rsidRDefault="00000000">
      <w:pPr>
        <w:pStyle w:val="af9"/>
        <w:numPr>
          <w:ilvl w:val="0"/>
          <w:numId w:val="4"/>
        </w:numPr>
        <w:adjustRightInd w:val="0"/>
        <w:snapToGrid w:val="0"/>
        <w:spacing w:before="120" w:after="120" w:line="360" w:lineRule="auto"/>
        <w:ind w:left="902" w:firstLineChars="0"/>
        <w:rPr>
          <w:rFonts w:ascii="宋体" w:eastAsia="宋体" w:hAnsi="宋体" w:hint="eastAsia"/>
          <w:b/>
          <w:bCs/>
          <w:sz w:val="24"/>
          <w:szCs w:val="24"/>
        </w:rPr>
      </w:pPr>
      <w:r>
        <w:rPr>
          <w:rFonts w:ascii="宋体" w:eastAsia="宋体" w:hAnsi="宋体" w:hint="eastAsia"/>
          <w:b/>
          <w:bCs/>
          <w:sz w:val="24"/>
          <w:szCs w:val="24"/>
        </w:rPr>
        <w:t>中长期发展与培养达成评价</w:t>
      </w:r>
    </w:p>
    <w:p w14:paraId="30F2CB40" w14:textId="77777777" w:rsidR="00B646BF" w:rsidRDefault="00000000">
      <w:pPr>
        <w:adjustRightInd w:val="0"/>
        <w:snapToGrid w:val="0"/>
        <w:spacing w:line="360" w:lineRule="auto"/>
        <w:ind w:firstLineChars="200" w:firstLine="420"/>
        <w:rPr>
          <w:rFonts w:ascii="宋体" w:eastAsia="宋体" w:hAnsi="宋体" w:hint="eastAsia"/>
        </w:rPr>
      </w:pPr>
      <w:bookmarkStart w:id="39" w:name="_Hlk36546391"/>
      <w:r>
        <w:rPr>
          <w:rFonts w:ascii="宋体" w:eastAsia="宋体" w:hAnsi="宋体" w:hint="eastAsia"/>
        </w:rPr>
        <w:t>本项目从毕业生中长期发展视角出发，评估民办高校人才培养与社会需求的持续适应性和培养目标达成度，为专业设置、课程改革及培养方案优化提供实证参考。项目通过分析职业成长路径和关键影响因素，反馈教育教学改进重点。同时，结合校友服务评价，推动校友资源建设，为民办高校拓展社会资源网络、增强社会影响力提供支持。评价的主要价值</w:t>
      </w:r>
      <w:r>
        <w:rPr>
          <w:rFonts w:ascii="宋体" w:eastAsia="宋体" w:hAnsi="宋体"/>
        </w:rPr>
        <w:t>：</w:t>
      </w:r>
    </w:p>
    <w:p w14:paraId="6D6C17E2"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【社会需求适应度】</w:t>
      </w:r>
      <w:r>
        <w:rPr>
          <w:rFonts w:ascii="宋体" w:eastAsia="宋体" w:hAnsi="宋体" w:hint="eastAsia"/>
        </w:rPr>
        <w:t>追踪毕业生职业流动、学历提升与行业发展匹配度，从毕业中长期角度反馈社会需求变化；</w:t>
      </w:r>
    </w:p>
    <w:p w14:paraId="66DD3DCC"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【培养目标达成度】</w:t>
      </w:r>
      <w:r>
        <w:rPr>
          <w:rFonts w:ascii="宋体" w:eastAsia="宋体" w:hAnsi="宋体" w:hint="eastAsia"/>
        </w:rPr>
        <w:t>衡量培养目标整体达成度，细化分析培养目标各要素达成效果，助力人才培养精准改进；</w:t>
      </w:r>
    </w:p>
    <w:p w14:paraId="5098AF53"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cstheme="minorHAnsi" w:hint="eastAsia"/>
          <w:b/>
          <w:bCs/>
          <w:szCs w:val="21"/>
        </w:rPr>
        <w:t>【培养过程反馈】</w:t>
      </w:r>
      <w:r>
        <w:rPr>
          <w:rFonts w:ascii="宋体" w:eastAsia="宋体" w:hAnsi="宋体" w:cstheme="minorHAnsi" w:hint="eastAsia"/>
          <w:szCs w:val="21"/>
        </w:rPr>
        <w:t>综合应届、在校生数据，深入挖掘职业发展关键影响因素；</w:t>
      </w:r>
    </w:p>
    <w:p w14:paraId="0C8AD26E"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【校友资源建设】</w:t>
      </w:r>
      <w:r>
        <w:rPr>
          <w:rFonts w:ascii="宋体" w:eastAsia="宋体" w:hAnsi="宋体" w:hint="eastAsia"/>
        </w:rPr>
        <w:t>了解校友对母校服务与发展建议，增强校友凝聚力和反馈机制，助力学校声誉提升与资源拓展。</w:t>
      </w:r>
    </w:p>
    <w:bookmarkEnd w:id="38"/>
    <w:bookmarkEnd w:id="39"/>
    <w:p w14:paraId="458AD0B7" w14:textId="77777777" w:rsidR="00B646BF" w:rsidRDefault="00000000">
      <w:pPr>
        <w:pStyle w:val="af9"/>
        <w:numPr>
          <w:ilvl w:val="0"/>
          <w:numId w:val="4"/>
        </w:numPr>
        <w:adjustRightInd w:val="0"/>
        <w:snapToGrid w:val="0"/>
        <w:spacing w:before="120" w:after="120" w:line="360" w:lineRule="auto"/>
        <w:ind w:left="902" w:firstLineChars="0"/>
        <w:rPr>
          <w:rFonts w:ascii="宋体" w:eastAsia="宋体" w:hAnsi="宋体" w:hint="eastAsia"/>
          <w:b/>
          <w:bCs/>
          <w:sz w:val="24"/>
          <w:szCs w:val="24"/>
        </w:rPr>
      </w:pPr>
      <w:r>
        <w:rPr>
          <w:rFonts w:ascii="宋体" w:eastAsia="宋体" w:hAnsi="宋体" w:hint="eastAsia"/>
          <w:b/>
          <w:bCs/>
          <w:sz w:val="24"/>
          <w:szCs w:val="24"/>
        </w:rPr>
        <w:t>用人单位评价</w:t>
      </w:r>
    </w:p>
    <w:p w14:paraId="7975E71A" w14:textId="77777777" w:rsidR="00B646BF" w:rsidRDefault="00000000">
      <w:pPr>
        <w:adjustRightInd w:val="0"/>
        <w:snapToGrid w:val="0"/>
        <w:spacing w:line="360" w:lineRule="auto"/>
        <w:ind w:firstLineChars="200" w:firstLine="420"/>
        <w:rPr>
          <w:rFonts w:ascii="宋体" w:eastAsia="宋体" w:hAnsi="宋体" w:hint="eastAsia"/>
        </w:rPr>
      </w:pPr>
      <w:r>
        <w:rPr>
          <w:rFonts w:hint="eastAsia"/>
        </w:rPr>
        <w:lastRenderedPageBreak/>
        <w:t>本项目通过用人单位反馈，重点评估民办高校毕业生在职业能力、专业知识、个人素养及岗位适应性等方面的实际表现，了解企业用人需求趋势及其对学校人才培养、就业服务的评价。借助用人单位视角，为民办高校明确应用型人才培养定位、强化校企合作、提升就业质量提供决策支持。</w:t>
      </w:r>
      <w:r>
        <w:rPr>
          <w:rFonts w:ascii="宋体" w:eastAsia="宋体" w:hAnsi="宋体" w:hint="eastAsia"/>
        </w:rPr>
        <w:t>评价的主要价值</w:t>
      </w:r>
      <w:r>
        <w:rPr>
          <w:rFonts w:ascii="宋体" w:eastAsia="宋体" w:hAnsi="宋体"/>
        </w:rPr>
        <w:t>：</w:t>
      </w:r>
    </w:p>
    <w:p w14:paraId="3B2FBC7E"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【培养目标达成】</w:t>
      </w:r>
      <w:r>
        <w:rPr>
          <w:rFonts w:hint="eastAsia"/>
        </w:rPr>
        <w:t>获取用人单位对毕业生能力知识素养方面的满意度评价情况，检验应用型人才培养实效</w:t>
      </w:r>
      <w:r>
        <w:rPr>
          <w:rFonts w:ascii="宋体" w:eastAsia="宋体" w:hAnsi="宋体" w:hint="eastAsia"/>
        </w:rPr>
        <w:t>；</w:t>
      </w:r>
    </w:p>
    <w:p w14:paraId="315F04EB"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【社会需求适应】</w:t>
      </w:r>
      <w:r>
        <w:rPr>
          <w:rFonts w:ascii="宋体" w:eastAsia="宋体" w:hAnsi="宋体" w:hint="eastAsia"/>
        </w:rPr>
        <w:t>了解毕业生对工作的适应情况及发展情况，反映毕业生对市场需求的适应性；</w:t>
      </w:r>
    </w:p>
    <w:p w14:paraId="254C685D"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【雇主用人需求】</w:t>
      </w:r>
      <w:r>
        <w:rPr>
          <w:rFonts w:hint="eastAsia"/>
        </w:rPr>
        <w:t>反馈用人单位的人才需求标准，助力高校人才培养结构调整，增强校企合作针对性</w:t>
      </w:r>
      <w:r>
        <w:rPr>
          <w:rFonts w:ascii="宋体" w:eastAsia="宋体" w:hAnsi="宋体" w:hint="eastAsia"/>
        </w:rPr>
        <w:t>；</w:t>
      </w:r>
    </w:p>
    <w:p w14:paraId="7F4C8C13" w14:textId="77777777" w:rsidR="00B646BF" w:rsidRDefault="00000000">
      <w:pPr>
        <w:pStyle w:val="af9"/>
        <w:numPr>
          <w:ilvl w:val="0"/>
          <w:numId w:val="6"/>
        </w:numPr>
        <w:adjustRightInd w:val="0"/>
        <w:snapToGrid w:val="0"/>
        <w:spacing w:line="360" w:lineRule="auto"/>
        <w:ind w:firstLineChars="0" w:hanging="431"/>
        <w:rPr>
          <w:rFonts w:ascii="宋体" w:eastAsia="宋体" w:hAnsi="宋体" w:hint="eastAsia"/>
        </w:rPr>
      </w:pPr>
      <w:r>
        <w:rPr>
          <w:rFonts w:ascii="宋体" w:eastAsia="宋体" w:hAnsi="宋体" w:hint="eastAsia"/>
          <w:b/>
          <w:bCs/>
        </w:rPr>
        <w:t>【持续改进】</w:t>
      </w:r>
      <w:r>
        <w:rPr>
          <w:rFonts w:ascii="宋体" w:eastAsia="宋体" w:hAnsi="宋体" w:hint="eastAsia"/>
        </w:rPr>
        <w:t>定位用人单位对高校的培养建议，为高校教育教学、人才培养提供改进方向。</w:t>
      </w:r>
    </w:p>
    <w:bookmarkEnd w:id="1"/>
    <w:bookmarkEnd w:id="31"/>
    <w:p w14:paraId="6F47B1E9" w14:textId="77777777" w:rsidR="00B646BF" w:rsidRDefault="00000000">
      <w:pPr>
        <w:spacing w:line="360" w:lineRule="auto"/>
        <w:jc w:val="center"/>
        <w:rPr>
          <w:rFonts w:ascii="微软雅黑" w:eastAsia="微软雅黑" w:hAnsi="微软雅黑" w:hint="eastAsia"/>
          <w:b/>
          <w:bCs/>
          <w:sz w:val="22"/>
          <w:szCs w:val="24"/>
        </w:rPr>
      </w:pPr>
      <w:r>
        <w:rPr>
          <w:rFonts w:hint="eastAsia"/>
          <w:noProof/>
        </w:rPr>
        <w:drawing>
          <wp:inline distT="0" distB="0" distL="0" distR="0" wp14:anchorId="38D456D9" wp14:editId="451495C7">
            <wp:extent cx="4030980" cy="2583815"/>
            <wp:effectExtent l="0" t="0" r="7620" b="6985"/>
            <wp:docPr id="14746206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20688"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32593" cy="2584780"/>
                    </a:xfrm>
                    <a:prstGeom prst="rect">
                      <a:avLst/>
                    </a:prstGeom>
                    <a:noFill/>
                    <a:ln>
                      <a:noFill/>
                    </a:ln>
                  </pic:spPr>
                </pic:pic>
              </a:graphicData>
            </a:graphic>
          </wp:inline>
        </w:drawing>
      </w:r>
    </w:p>
    <w:p w14:paraId="367B6797" w14:textId="77777777" w:rsidR="00B646BF" w:rsidRDefault="00000000">
      <w:pPr>
        <w:spacing w:line="360" w:lineRule="auto"/>
        <w:jc w:val="center"/>
        <w:rPr>
          <w:rFonts w:ascii="微软雅黑" w:eastAsia="微软雅黑" w:hAnsi="微软雅黑" w:hint="eastAsia"/>
          <w:b/>
          <w:bCs/>
          <w:sz w:val="22"/>
          <w:szCs w:val="24"/>
        </w:rPr>
      </w:pPr>
      <w:r>
        <w:rPr>
          <w:rFonts w:ascii="微软雅黑" w:eastAsia="微软雅黑" w:hAnsi="微软雅黑" w:hint="eastAsia"/>
          <w:b/>
          <w:bCs/>
          <w:sz w:val="22"/>
          <w:szCs w:val="24"/>
        </w:rPr>
        <w:t>图1 专项调研对各审核重点的支撑（合格评估）</w:t>
      </w:r>
    </w:p>
    <w:p w14:paraId="3741E4B9" w14:textId="77777777" w:rsidR="00B646BF" w:rsidRDefault="00000000">
      <w:pPr>
        <w:spacing w:line="360" w:lineRule="auto"/>
        <w:jc w:val="center"/>
        <w:rPr>
          <w:rFonts w:ascii="微软雅黑" w:eastAsia="微软雅黑" w:hAnsi="微软雅黑" w:hint="eastAsia"/>
          <w:b/>
          <w:bCs/>
          <w:sz w:val="22"/>
          <w:szCs w:val="24"/>
        </w:rPr>
      </w:pPr>
      <w:r>
        <w:rPr>
          <w:rFonts w:hint="eastAsia"/>
          <w:noProof/>
        </w:rPr>
        <w:lastRenderedPageBreak/>
        <w:drawing>
          <wp:inline distT="0" distB="0" distL="0" distR="0" wp14:anchorId="41C2D00E" wp14:editId="69B47DFA">
            <wp:extent cx="3948430" cy="2530475"/>
            <wp:effectExtent l="0" t="0" r="0" b="3175"/>
            <wp:docPr id="15948804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80435"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56832" cy="2536220"/>
                    </a:xfrm>
                    <a:prstGeom prst="rect">
                      <a:avLst/>
                    </a:prstGeom>
                    <a:noFill/>
                    <a:ln>
                      <a:noFill/>
                    </a:ln>
                  </pic:spPr>
                </pic:pic>
              </a:graphicData>
            </a:graphic>
          </wp:inline>
        </w:drawing>
      </w:r>
    </w:p>
    <w:p w14:paraId="4021ACC2" w14:textId="77777777" w:rsidR="00B646BF" w:rsidRDefault="00000000">
      <w:pPr>
        <w:spacing w:line="360" w:lineRule="auto"/>
        <w:jc w:val="center"/>
        <w:rPr>
          <w:rFonts w:ascii="微软雅黑" w:eastAsia="微软雅黑" w:hAnsi="微软雅黑" w:hint="eastAsia"/>
          <w:b/>
          <w:bCs/>
          <w:sz w:val="22"/>
          <w:szCs w:val="24"/>
        </w:rPr>
        <w:sectPr w:rsidR="00B646BF">
          <w:headerReference w:type="default" r:id="rId10"/>
          <w:footerReference w:type="default" r:id="rId11"/>
          <w:pgSz w:w="12240" w:h="15840"/>
          <w:pgMar w:top="1440" w:right="1800" w:bottom="1440" w:left="1800" w:header="720" w:footer="720" w:gutter="0"/>
          <w:cols w:space="720"/>
        </w:sectPr>
      </w:pPr>
      <w:r>
        <w:rPr>
          <w:rFonts w:ascii="微软雅黑" w:eastAsia="微软雅黑" w:hAnsi="微软雅黑" w:hint="eastAsia"/>
          <w:b/>
          <w:bCs/>
          <w:sz w:val="22"/>
          <w:szCs w:val="24"/>
        </w:rPr>
        <w:t>图</w:t>
      </w:r>
      <w:r>
        <w:rPr>
          <w:rFonts w:ascii="微软雅黑" w:eastAsia="微软雅黑" w:hAnsi="微软雅黑"/>
          <w:b/>
          <w:bCs/>
          <w:sz w:val="22"/>
          <w:szCs w:val="24"/>
        </w:rPr>
        <w:t xml:space="preserve">2 </w:t>
      </w:r>
      <w:r>
        <w:rPr>
          <w:rFonts w:ascii="微软雅黑" w:eastAsia="微软雅黑" w:hAnsi="微软雅黑" w:hint="eastAsia"/>
          <w:b/>
          <w:bCs/>
          <w:sz w:val="22"/>
          <w:szCs w:val="24"/>
        </w:rPr>
        <w:t>专项调研对各审核重点的支撑（审核评估）</w:t>
      </w:r>
    </w:p>
    <w:p w14:paraId="1F60EF0E" w14:textId="77777777" w:rsidR="00B646BF" w:rsidRDefault="00000000">
      <w:pPr>
        <w:spacing w:beforeLines="50" w:before="120" w:afterLines="50" w:after="120" w:line="360" w:lineRule="auto"/>
        <w:outlineLvl w:val="0"/>
        <w:rPr>
          <w:rFonts w:ascii="Calibri" w:hAnsi="Calibri"/>
          <w:b/>
          <w:color w:val="4BACC6"/>
          <w:sz w:val="32"/>
        </w:rPr>
      </w:pPr>
      <w:r>
        <w:rPr>
          <w:rFonts w:ascii="Calibri" w:hAnsi="Calibri" w:hint="eastAsia"/>
          <w:b/>
          <w:color w:val="4BACC6"/>
          <w:sz w:val="32"/>
        </w:rPr>
        <w:lastRenderedPageBreak/>
        <w:t>项目交付</w:t>
      </w:r>
    </w:p>
    <w:p w14:paraId="091D88AA" w14:textId="77777777" w:rsidR="005C0E32" w:rsidRDefault="005C0E32" w:rsidP="005C0E32">
      <w:pPr>
        <w:pStyle w:val="af9"/>
        <w:numPr>
          <w:ilvl w:val="0"/>
          <w:numId w:val="9"/>
        </w:numPr>
        <w:spacing w:before="240" w:after="240" w:line="276" w:lineRule="auto"/>
        <w:ind w:firstLineChars="0"/>
        <w:rPr>
          <w:rFonts w:ascii="宋体" w:eastAsia="宋体" w:hAnsi="宋体" w:hint="eastAsia"/>
          <w:b/>
          <w:bCs/>
          <w:sz w:val="24"/>
          <w:szCs w:val="24"/>
        </w:rPr>
      </w:pPr>
      <w:r>
        <w:rPr>
          <w:rFonts w:ascii="宋体" w:eastAsia="宋体" w:hAnsi="宋体" w:hint="eastAsia"/>
          <w:b/>
          <w:bCs/>
          <w:sz w:val="24"/>
          <w:szCs w:val="24"/>
        </w:rPr>
        <w:t>校级报告</w:t>
      </w:r>
    </w:p>
    <w:p w14:paraId="4D10A365" w14:textId="77777777" w:rsidR="005C0E32" w:rsidRPr="004A13CB" w:rsidRDefault="005C0E32" w:rsidP="005C0E32">
      <w:pPr>
        <w:pStyle w:val="af9"/>
        <w:numPr>
          <w:ilvl w:val="0"/>
          <w:numId w:val="10"/>
        </w:numPr>
        <w:spacing w:line="360" w:lineRule="auto"/>
        <w:ind w:firstLineChars="0"/>
        <w:rPr>
          <w:rFonts w:ascii="宋体" w:eastAsia="宋体" w:hAnsi="宋体" w:hint="eastAsia"/>
          <w:b/>
          <w:bCs/>
          <w:sz w:val="24"/>
          <w:szCs w:val="24"/>
        </w:rPr>
      </w:pPr>
      <w:r w:rsidRPr="002329C9">
        <w:rPr>
          <w:rFonts w:hint="eastAsia"/>
          <w:b/>
          <w:bCs/>
        </w:rPr>
        <w:t>《</w:t>
      </w:r>
      <w:r>
        <w:rPr>
          <w:rFonts w:hint="eastAsia"/>
          <w:b/>
          <w:bCs/>
        </w:rPr>
        <w:t>XX</w:t>
      </w:r>
      <w:r>
        <w:rPr>
          <w:rFonts w:hint="eastAsia"/>
          <w:b/>
          <w:bCs/>
        </w:rPr>
        <w:t>大学</w:t>
      </w:r>
      <w:r w:rsidRPr="002329C9">
        <w:rPr>
          <w:rFonts w:hint="eastAsia"/>
          <w:b/>
          <w:bCs/>
        </w:rPr>
        <w:t>学习体验与成长评价报告》</w:t>
      </w:r>
    </w:p>
    <w:p w14:paraId="12593807" w14:textId="77777777" w:rsidR="005C0E32" w:rsidRPr="004A13CB" w:rsidRDefault="005C0E32" w:rsidP="005C0E32">
      <w:pPr>
        <w:pStyle w:val="af9"/>
        <w:numPr>
          <w:ilvl w:val="0"/>
          <w:numId w:val="10"/>
        </w:numPr>
        <w:spacing w:line="360" w:lineRule="auto"/>
        <w:ind w:firstLineChars="0"/>
        <w:rPr>
          <w:b/>
          <w:bCs/>
        </w:rPr>
      </w:pPr>
      <w:r w:rsidRPr="002329C9">
        <w:rPr>
          <w:rFonts w:hint="eastAsia"/>
          <w:b/>
          <w:bCs/>
        </w:rPr>
        <w:t>《</w:t>
      </w:r>
      <w:r>
        <w:rPr>
          <w:rFonts w:hint="eastAsia"/>
          <w:b/>
          <w:bCs/>
        </w:rPr>
        <w:t>XX</w:t>
      </w:r>
      <w:r>
        <w:rPr>
          <w:rFonts w:hint="eastAsia"/>
          <w:b/>
          <w:bCs/>
        </w:rPr>
        <w:t>大学</w:t>
      </w:r>
      <w:r w:rsidRPr="002329C9">
        <w:rPr>
          <w:rFonts w:hint="eastAsia"/>
          <w:b/>
          <w:bCs/>
        </w:rPr>
        <w:t>毕业生培养质量评价报告》</w:t>
      </w:r>
    </w:p>
    <w:p w14:paraId="03C73253" w14:textId="77777777" w:rsidR="005C0E32" w:rsidRDefault="005C0E32" w:rsidP="005C0E32">
      <w:pPr>
        <w:pStyle w:val="af9"/>
        <w:numPr>
          <w:ilvl w:val="0"/>
          <w:numId w:val="10"/>
        </w:numPr>
        <w:spacing w:line="360" w:lineRule="auto"/>
        <w:ind w:firstLineChars="0"/>
        <w:rPr>
          <w:b/>
          <w:bCs/>
        </w:rPr>
      </w:pPr>
      <w:r w:rsidRPr="004A13CB">
        <w:rPr>
          <w:rFonts w:hint="eastAsia"/>
          <w:b/>
          <w:bCs/>
        </w:rPr>
        <w:t>《</w:t>
      </w:r>
      <w:r>
        <w:rPr>
          <w:rFonts w:hint="eastAsia"/>
          <w:b/>
          <w:bCs/>
        </w:rPr>
        <w:t>XX</w:t>
      </w:r>
      <w:r>
        <w:rPr>
          <w:rFonts w:hint="eastAsia"/>
          <w:b/>
          <w:bCs/>
        </w:rPr>
        <w:t>大学</w:t>
      </w:r>
      <w:r w:rsidRPr="004A13CB">
        <w:rPr>
          <w:rFonts w:hint="eastAsia"/>
          <w:b/>
          <w:bCs/>
        </w:rPr>
        <w:t>中长期发展与培养达成评价报告》</w:t>
      </w:r>
    </w:p>
    <w:p w14:paraId="0BE23C19" w14:textId="77777777" w:rsidR="005C0E32" w:rsidRPr="004A13CB" w:rsidRDefault="005C0E32" w:rsidP="005C0E32">
      <w:pPr>
        <w:pStyle w:val="af9"/>
        <w:numPr>
          <w:ilvl w:val="0"/>
          <w:numId w:val="10"/>
        </w:numPr>
        <w:spacing w:line="360" w:lineRule="auto"/>
        <w:ind w:firstLineChars="0"/>
        <w:rPr>
          <w:b/>
          <w:bCs/>
        </w:rPr>
      </w:pPr>
      <w:r w:rsidRPr="004A13CB">
        <w:rPr>
          <w:rFonts w:hint="eastAsia"/>
          <w:b/>
          <w:bCs/>
        </w:rPr>
        <w:t>《</w:t>
      </w:r>
      <w:r>
        <w:rPr>
          <w:rFonts w:hint="eastAsia"/>
          <w:b/>
          <w:bCs/>
        </w:rPr>
        <w:t>XX</w:t>
      </w:r>
      <w:r>
        <w:rPr>
          <w:rFonts w:hint="eastAsia"/>
          <w:b/>
          <w:bCs/>
        </w:rPr>
        <w:t>大学</w:t>
      </w:r>
      <w:r w:rsidRPr="004A13CB">
        <w:rPr>
          <w:rFonts w:hint="eastAsia"/>
          <w:b/>
          <w:bCs/>
        </w:rPr>
        <w:t>教师教学与发展评价报告》</w:t>
      </w:r>
    </w:p>
    <w:p w14:paraId="0128496D" w14:textId="77777777" w:rsidR="005C0E32" w:rsidRPr="004A13CB" w:rsidRDefault="005C0E32" w:rsidP="005C0E32">
      <w:pPr>
        <w:pStyle w:val="af9"/>
        <w:numPr>
          <w:ilvl w:val="0"/>
          <w:numId w:val="10"/>
        </w:numPr>
        <w:spacing w:line="360" w:lineRule="auto"/>
        <w:ind w:firstLineChars="0"/>
        <w:rPr>
          <w:b/>
          <w:bCs/>
        </w:rPr>
      </w:pPr>
      <w:r w:rsidRPr="004A13CB">
        <w:rPr>
          <w:rFonts w:hint="eastAsia"/>
          <w:b/>
          <w:bCs/>
        </w:rPr>
        <w:t>《</w:t>
      </w:r>
      <w:r>
        <w:rPr>
          <w:rFonts w:hint="eastAsia"/>
          <w:b/>
          <w:bCs/>
        </w:rPr>
        <w:t>XX</w:t>
      </w:r>
      <w:r>
        <w:rPr>
          <w:rFonts w:hint="eastAsia"/>
          <w:b/>
          <w:bCs/>
        </w:rPr>
        <w:t>大学</w:t>
      </w:r>
      <w:r w:rsidRPr="004A13CB">
        <w:rPr>
          <w:rFonts w:hint="eastAsia"/>
          <w:b/>
          <w:bCs/>
        </w:rPr>
        <w:t>用人单位评价报告》</w:t>
      </w:r>
    </w:p>
    <w:p w14:paraId="019592DF" w14:textId="77777777" w:rsidR="005C0E32" w:rsidRDefault="005C0E32" w:rsidP="005C0E32">
      <w:pPr>
        <w:pStyle w:val="af9"/>
        <w:numPr>
          <w:ilvl w:val="0"/>
          <w:numId w:val="9"/>
        </w:numPr>
        <w:spacing w:before="240" w:after="240" w:line="276" w:lineRule="auto"/>
        <w:ind w:firstLineChars="0"/>
        <w:rPr>
          <w:rFonts w:ascii="宋体" w:eastAsia="宋体" w:hAnsi="宋体" w:hint="eastAsia"/>
          <w:b/>
          <w:bCs/>
          <w:sz w:val="24"/>
          <w:szCs w:val="24"/>
        </w:rPr>
      </w:pPr>
      <w:r>
        <w:rPr>
          <w:rFonts w:ascii="宋体" w:eastAsia="宋体" w:hAnsi="宋体" w:hint="eastAsia"/>
          <w:b/>
          <w:bCs/>
          <w:sz w:val="24"/>
          <w:szCs w:val="24"/>
        </w:rPr>
        <w:t>学院报告</w:t>
      </w:r>
    </w:p>
    <w:p w14:paraId="6230384C" w14:textId="77777777" w:rsidR="005C0E32" w:rsidRPr="004A13CB" w:rsidRDefault="005C0E32" w:rsidP="005C0E32">
      <w:pPr>
        <w:pStyle w:val="af9"/>
        <w:numPr>
          <w:ilvl w:val="0"/>
          <w:numId w:val="10"/>
        </w:numPr>
        <w:spacing w:line="360" w:lineRule="auto"/>
        <w:ind w:firstLineChars="0"/>
        <w:rPr>
          <w:rFonts w:ascii="宋体" w:eastAsia="宋体" w:hAnsi="宋体" w:hint="eastAsia"/>
          <w:b/>
          <w:bCs/>
          <w:sz w:val="24"/>
          <w:szCs w:val="24"/>
        </w:rPr>
      </w:pPr>
      <w:r w:rsidRPr="002329C9">
        <w:rPr>
          <w:rFonts w:hint="eastAsia"/>
          <w:b/>
          <w:bCs/>
        </w:rPr>
        <w:t>《</w:t>
      </w:r>
      <w:r>
        <w:rPr>
          <w:rFonts w:hint="eastAsia"/>
          <w:b/>
          <w:bCs/>
        </w:rPr>
        <w:t>XX</w:t>
      </w:r>
      <w:r>
        <w:rPr>
          <w:rFonts w:hint="eastAsia"/>
          <w:b/>
          <w:bCs/>
        </w:rPr>
        <w:t>学院</w:t>
      </w:r>
      <w:r w:rsidRPr="002329C9">
        <w:rPr>
          <w:rFonts w:hint="eastAsia"/>
          <w:b/>
          <w:bCs/>
        </w:rPr>
        <w:t>学习体验与成长评价报告》</w:t>
      </w:r>
    </w:p>
    <w:p w14:paraId="6EECA54A" w14:textId="77777777" w:rsidR="005C0E32" w:rsidRPr="004A13CB" w:rsidRDefault="005C0E32" w:rsidP="005C0E32">
      <w:pPr>
        <w:pStyle w:val="af9"/>
        <w:numPr>
          <w:ilvl w:val="0"/>
          <w:numId w:val="10"/>
        </w:numPr>
        <w:spacing w:line="360" w:lineRule="auto"/>
        <w:ind w:firstLineChars="0"/>
        <w:rPr>
          <w:b/>
          <w:bCs/>
        </w:rPr>
      </w:pPr>
      <w:r w:rsidRPr="002329C9">
        <w:rPr>
          <w:rFonts w:hint="eastAsia"/>
          <w:b/>
          <w:bCs/>
        </w:rPr>
        <w:t>《</w:t>
      </w:r>
      <w:r>
        <w:rPr>
          <w:rFonts w:hint="eastAsia"/>
          <w:b/>
          <w:bCs/>
        </w:rPr>
        <w:t>XX</w:t>
      </w:r>
      <w:r>
        <w:rPr>
          <w:rFonts w:hint="eastAsia"/>
          <w:b/>
          <w:bCs/>
        </w:rPr>
        <w:t>学院</w:t>
      </w:r>
      <w:r w:rsidRPr="002329C9">
        <w:rPr>
          <w:rFonts w:hint="eastAsia"/>
          <w:b/>
          <w:bCs/>
        </w:rPr>
        <w:t>毕业生培养质量评价报告》</w:t>
      </w:r>
    </w:p>
    <w:p w14:paraId="078E0C23" w14:textId="77777777" w:rsidR="005C0E32" w:rsidRDefault="005C0E32" w:rsidP="005C0E32">
      <w:pPr>
        <w:pStyle w:val="af9"/>
        <w:numPr>
          <w:ilvl w:val="0"/>
          <w:numId w:val="10"/>
        </w:numPr>
        <w:spacing w:line="360" w:lineRule="auto"/>
        <w:ind w:firstLineChars="0"/>
        <w:rPr>
          <w:b/>
          <w:bCs/>
        </w:rPr>
      </w:pPr>
      <w:r w:rsidRPr="004A13CB">
        <w:rPr>
          <w:rFonts w:hint="eastAsia"/>
          <w:b/>
          <w:bCs/>
        </w:rPr>
        <w:t>《</w:t>
      </w:r>
      <w:r>
        <w:rPr>
          <w:rFonts w:hint="eastAsia"/>
          <w:b/>
          <w:bCs/>
        </w:rPr>
        <w:t>XX</w:t>
      </w:r>
      <w:r>
        <w:rPr>
          <w:rFonts w:hint="eastAsia"/>
          <w:b/>
          <w:bCs/>
        </w:rPr>
        <w:t>学院</w:t>
      </w:r>
      <w:r w:rsidRPr="004A13CB">
        <w:rPr>
          <w:rFonts w:hint="eastAsia"/>
          <w:b/>
          <w:bCs/>
        </w:rPr>
        <w:t>中长期发展与培养达成评价报告》</w:t>
      </w:r>
    </w:p>
    <w:p w14:paraId="6F743EC1" w14:textId="77777777" w:rsidR="005C0E32" w:rsidRPr="005244FF" w:rsidRDefault="005C0E32" w:rsidP="005C0E32">
      <w:pPr>
        <w:spacing w:line="360" w:lineRule="auto"/>
        <w:ind w:left="900"/>
        <w:rPr>
          <w:b/>
          <w:bCs/>
        </w:rPr>
      </w:pPr>
      <w:r>
        <w:rPr>
          <w:rFonts w:hint="eastAsia"/>
          <w:b/>
          <w:bCs/>
        </w:rPr>
        <w:t>为了更好地服务二级院系应用数据，可以提供基于多维数据的学院综合数据报告。如选择此项，则不提供上述单项目的学院报告。</w:t>
      </w:r>
    </w:p>
    <w:p w14:paraId="59985A1D" w14:textId="77777777" w:rsidR="005C0E32" w:rsidRPr="008C1DB5" w:rsidRDefault="005C0E32" w:rsidP="005C0E32">
      <w:pPr>
        <w:pStyle w:val="af9"/>
        <w:numPr>
          <w:ilvl w:val="0"/>
          <w:numId w:val="10"/>
        </w:numPr>
        <w:spacing w:line="360" w:lineRule="auto"/>
        <w:ind w:firstLineChars="0"/>
        <w:rPr>
          <w:b/>
          <w:bCs/>
          <w:i/>
          <w:iCs/>
        </w:rPr>
      </w:pPr>
      <w:r w:rsidRPr="005244FF">
        <w:rPr>
          <w:rFonts w:hint="eastAsia"/>
          <w:b/>
          <w:bCs/>
        </w:rPr>
        <w:t>《</w:t>
      </w:r>
      <w:r w:rsidRPr="005244FF">
        <w:rPr>
          <w:rFonts w:hint="eastAsia"/>
          <w:b/>
          <w:bCs/>
        </w:rPr>
        <w:t>XX</w:t>
      </w:r>
      <w:r w:rsidRPr="005244FF">
        <w:rPr>
          <w:rFonts w:hint="eastAsia"/>
          <w:b/>
          <w:bCs/>
        </w:rPr>
        <w:t>学院综合评价数据报告》（多维）</w:t>
      </w:r>
      <w:r w:rsidRPr="008C7084">
        <w:rPr>
          <w:rFonts w:hint="eastAsia"/>
          <w:b/>
          <w:bCs/>
          <w:color w:val="0070C0"/>
        </w:rPr>
        <w:t>（此项为</w:t>
      </w:r>
      <w:r>
        <w:rPr>
          <w:rFonts w:hint="eastAsia"/>
          <w:b/>
          <w:bCs/>
          <w:color w:val="0070C0"/>
        </w:rPr>
        <w:t>可选</w:t>
      </w:r>
      <w:r w:rsidRPr="008C7084">
        <w:rPr>
          <w:rFonts w:hint="eastAsia"/>
          <w:b/>
          <w:bCs/>
          <w:color w:val="0070C0"/>
        </w:rPr>
        <w:t>增值服务）</w:t>
      </w:r>
    </w:p>
    <w:p w14:paraId="44C5E8DF" w14:textId="77777777" w:rsidR="005C0E32" w:rsidRPr="005244FF" w:rsidRDefault="005C0E32" w:rsidP="005C0E32">
      <w:pPr>
        <w:pStyle w:val="af9"/>
        <w:numPr>
          <w:ilvl w:val="0"/>
          <w:numId w:val="9"/>
        </w:numPr>
        <w:spacing w:before="240" w:after="240" w:line="276" w:lineRule="auto"/>
        <w:ind w:firstLineChars="0"/>
        <w:rPr>
          <w:rFonts w:ascii="宋体" w:eastAsia="宋体" w:hAnsi="宋体" w:hint="eastAsia"/>
          <w:b/>
          <w:bCs/>
          <w:sz w:val="24"/>
          <w:szCs w:val="24"/>
        </w:rPr>
      </w:pPr>
      <w:r w:rsidRPr="005244FF">
        <w:rPr>
          <w:rFonts w:ascii="宋体" w:eastAsia="宋体" w:hAnsi="宋体" w:hint="eastAsia"/>
          <w:b/>
          <w:bCs/>
          <w:sz w:val="24"/>
          <w:szCs w:val="24"/>
        </w:rPr>
        <w:t>专业层面</w:t>
      </w:r>
      <w:r w:rsidRPr="008C7084">
        <w:rPr>
          <w:rFonts w:ascii="宋体" w:eastAsia="宋体" w:hAnsi="宋体" w:hint="eastAsia"/>
          <w:b/>
          <w:bCs/>
          <w:color w:val="0070C0"/>
          <w:sz w:val="24"/>
          <w:szCs w:val="24"/>
        </w:rPr>
        <w:t>（此项为</w:t>
      </w:r>
      <w:r>
        <w:rPr>
          <w:rFonts w:ascii="宋体" w:eastAsia="宋体" w:hAnsi="宋体" w:hint="eastAsia"/>
          <w:b/>
          <w:bCs/>
          <w:color w:val="0070C0"/>
          <w:sz w:val="24"/>
          <w:szCs w:val="24"/>
        </w:rPr>
        <w:t>可选</w:t>
      </w:r>
      <w:r w:rsidRPr="008C7084">
        <w:rPr>
          <w:rFonts w:ascii="宋体" w:eastAsia="宋体" w:hAnsi="宋体" w:hint="eastAsia"/>
          <w:b/>
          <w:bCs/>
          <w:color w:val="0070C0"/>
          <w:sz w:val="24"/>
          <w:szCs w:val="24"/>
        </w:rPr>
        <w:t>增值服务）</w:t>
      </w:r>
    </w:p>
    <w:p w14:paraId="778380C9" w14:textId="77777777" w:rsidR="005C0E32" w:rsidRPr="005244FF" w:rsidRDefault="005C0E32" w:rsidP="005C0E32">
      <w:pPr>
        <w:pStyle w:val="af9"/>
        <w:spacing w:line="360" w:lineRule="auto"/>
        <w:ind w:left="902" w:firstLineChars="0" w:firstLine="0"/>
        <w:rPr>
          <w:rFonts w:ascii="宋体" w:eastAsia="宋体" w:hAnsi="宋体" w:hint="eastAsia"/>
          <w:b/>
          <w:bCs/>
          <w:szCs w:val="21"/>
        </w:rPr>
      </w:pPr>
      <w:r w:rsidRPr="005244FF">
        <w:rPr>
          <w:rFonts w:ascii="宋体" w:eastAsia="宋体" w:hAnsi="宋体" w:hint="eastAsia"/>
          <w:b/>
          <w:bCs/>
          <w:szCs w:val="21"/>
        </w:rPr>
        <w:t>服务专业层面应用数据，可以提供基于专业层面的数据报告</w:t>
      </w:r>
      <w:r>
        <w:rPr>
          <w:rFonts w:ascii="宋体" w:eastAsia="宋体" w:hAnsi="宋体" w:hint="eastAsia"/>
          <w:b/>
          <w:bCs/>
          <w:szCs w:val="21"/>
        </w:rPr>
        <w:t>，共A、B两种执行方案</w:t>
      </w:r>
      <w:r w:rsidRPr="005244FF">
        <w:rPr>
          <w:rFonts w:ascii="宋体" w:eastAsia="宋体" w:hAnsi="宋体" w:hint="eastAsia"/>
          <w:b/>
          <w:bCs/>
          <w:szCs w:val="21"/>
        </w:rPr>
        <w:t>。</w:t>
      </w:r>
      <w:proofErr w:type="gramStart"/>
      <w:r>
        <w:rPr>
          <w:rFonts w:ascii="宋体" w:eastAsia="宋体" w:hAnsi="宋体" w:hint="eastAsia"/>
          <w:b/>
          <w:bCs/>
          <w:szCs w:val="21"/>
        </w:rPr>
        <w:t>请依据</w:t>
      </w:r>
      <w:proofErr w:type="gramEnd"/>
      <w:r>
        <w:rPr>
          <w:rFonts w:ascii="宋体" w:eastAsia="宋体" w:hAnsi="宋体" w:hint="eastAsia"/>
          <w:b/>
          <w:bCs/>
          <w:szCs w:val="21"/>
        </w:rPr>
        <w:t>合作情况在两种执行方案中选一种或不选。</w:t>
      </w:r>
    </w:p>
    <w:p w14:paraId="0AF08DB1" w14:textId="77777777" w:rsidR="005C0E32" w:rsidRPr="005244FF" w:rsidRDefault="005C0E32" w:rsidP="005C0E32">
      <w:pPr>
        <w:pStyle w:val="af9"/>
        <w:spacing w:line="360" w:lineRule="auto"/>
        <w:ind w:left="902" w:firstLineChars="0" w:firstLine="0"/>
        <w:rPr>
          <w:rFonts w:ascii="宋体" w:eastAsia="宋体" w:hAnsi="宋体" w:hint="eastAsia"/>
          <w:b/>
          <w:bCs/>
          <w:szCs w:val="21"/>
        </w:rPr>
      </w:pPr>
      <w:r w:rsidRPr="008C7084">
        <w:rPr>
          <w:rFonts w:ascii="宋体" w:eastAsia="宋体" w:hAnsi="宋体" w:hint="eastAsia"/>
          <w:b/>
          <w:bCs/>
          <w:szCs w:val="21"/>
          <w:u w:val="single"/>
        </w:rPr>
        <w:t>执行方案A</w:t>
      </w:r>
      <w:r w:rsidRPr="008C7084">
        <w:rPr>
          <w:rFonts w:ascii="宋体" w:eastAsia="宋体" w:hAnsi="宋体" w:hint="eastAsia"/>
          <w:b/>
          <w:bCs/>
          <w:szCs w:val="21"/>
        </w:rPr>
        <w:t>：</w:t>
      </w:r>
      <w:r>
        <w:rPr>
          <w:rFonts w:ascii="宋体" w:eastAsia="宋体" w:hAnsi="宋体" w:hint="eastAsia"/>
          <w:b/>
          <w:bCs/>
          <w:szCs w:val="21"/>
        </w:rPr>
        <w:t>合作以下项目可提供专业维度的报告。</w:t>
      </w:r>
    </w:p>
    <w:p w14:paraId="49787DB7" w14:textId="77777777" w:rsidR="005C0E32" w:rsidRPr="005244FF" w:rsidRDefault="005C0E32" w:rsidP="005C0E32">
      <w:pPr>
        <w:pStyle w:val="af9"/>
        <w:numPr>
          <w:ilvl w:val="0"/>
          <w:numId w:val="10"/>
        </w:numPr>
        <w:spacing w:line="360" w:lineRule="auto"/>
        <w:ind w:firstLineChars="0"/>
        <w:rPr>
          <w:rFonts w:ascii="宋体" w:eastAsia="宋体" w:hAnsi="宋体" w:hint="eastAsia"/>
          <w:b/>
          <w:bCs/>
          <w:sz w:val="24"/>
          <w:szCs w:val="24"/>
        </w:rPr>
      </w:pPr>
      <w:r w:rsidRPr="005244FF">
        <w:rPr>
          <w:rFonts w:hint="eastAsia"/>
          <w:b/>
          <w:bCs/>
        </w:rPr>
        <w:t>《</w:t>
      </w:r>
      <w:r w:rsidRPr="005244FF">
        <w:rPr>
          <w:rFonts w:hint="eastAsia"/>
          <w:b/>
          <w:bCs/>
        </w:rPr>
        <w:t>XX</w:t>
      </w:r>
      <w:r w:rsidRPr="005244FF">
        <w:rPr>
          <w:rFonts w:hint="eastAsia"/>
          <w:b/>
          <w:bCs/>
        </w:rPr>
        <w:t>专业学习体验与成长评价报告》</w:t>
      </w:r>
    </w:p>
    <w:p w14:paraId="2E7BBB16" w14:textId="77777777" w:rsidR="005C0E32" w:rsidRPr="005244FF" w:rsidRDefault="005C0E32" w:rsidP="005C0E32">
      <w:pPr>
        <w:pStyle w:val="af9"/>
        <w:numPr>
          <w:ilvl w:val="0"/>
          <w:numId w:val="10"/>
        </w:numPr>
        <w:spacing w:line="360" w:lineRule="auto"/>
        <w:ind w:firstLineChars="0"/>
        <w:rPr>
          <w:b/>
          <w:bCs/>
        </w:rPr>
      </w:pPr>
      <w:r w:rsidRPr="005244FF">
        <w:rPr>
          <w:rFonts w:hint="eastAsia"/>
          <w:b/>
          <w:bCs/>
        </w:rPr>
        <w:t>《</w:t>
      </w:r>
      <w:r w:rsidRPr="005244FF">
        <w:rPr>
          <w:rFonts w:hint="eastAsia"/>
          <w:b/>
          <w:bCs/>
        </w:rPr>
        <w:t>XX</w:t>
      </w:r>
      <w:r w:rsidRPr="005244FF">
        <w:rPr>
          <w:rFonts w:hint="eastAsia"/>
          <w:b/>
          <w:bCs/>
        </w:rPr>
        <w:t>专业毕业生培养质量评价报告》</w:t>
      </w:r>
    </w:p>
    <w:p w14:paraId="5BC4FA28" w14:textId="77777777" w:rsidR="005C0E32" w:rsidRDefault="005C0E32" w:rsidP="005C0E32">
      <w:pPr>
        <w:pStyle w:val="af9"/>
        <w:numPr>
          <w:ilvl w:val="0"/>
          <w:numId w:val="10"/>
        </w:numPr>
        <w:spacing w:line="360" w:lineRule="auto"/>
        <w:ind w:firstLineChars="0"/>
        <w:rPr>
          <w:b/>
          <w:bCs/>
        </w:rPr>
      </w:pPr>
      <w:r w:rsidRPr="005244FF">
        <w:rPr>
          <w:rFonts w:hint="eastAsia"/>
          <w:b/>
          <w:bCs/>
        </w:rPr>
        <w:t>《</w:t>
      </w:r>
      <w:r w:rsidRPr="005244FF">
        <w:rPr>
          <w:rFonts w:hint="eastAsia"/>
          <w:b/>
          <w:bCs/>
        </w:rPr>
        <w:t>XX</w:t>
      </w:r>
      <w:r w:rsidRPr="005244FF">
        <w:rPr>
          <w:rFonts w:hint="eastAsia"/>
          <w:b/>
          <w:bCs/>
        </w:rPr>
        <w:t>专业中长期发展与培养达成评价报告》</w:t>
      </w:r>
    </w:p>
    <w:p w14:paraId="2EBDAF18" w14:textId="77777777" w:rsidR="005C0E32" w:rsidRPr="005244FF" w:rsidRDefault="005C0E32" w:rsidP="005C0E32">
      <w:pPr>
        <w:spacing w:line="360" w:lineRule="auto"/>
        <w:ind w:left="900"/>
        <w:rPr>
          <w:b/>
          <w:bCs/>
        </w:rPr>
      </w:pPr>
      <w:r w:rsidRPr="008C7084">
        <w:rPr>
          <w:rFonts w:hint="eastAsia"/>
          <w:b/>
          <w:bCs/>
          <w:u w:val="single"/>
        </w:rPr>
        <w:t>执行方案</w:t>
      </w:r>
      <w:r w:rsidRPr="008C7084">
        <w:rPr>
          <w:rFonts w:ascii="宋体" w:eastAsia="宋体" w:hAnsi="宋体" w:hint="eastAsia"/>
          <w:b/>
          <w:bCs/>
          <w:szCs w:val="21"/>
          <w:u w:val="single"/>
        </w:rPr>
        <w:t>B</w:t>
      </w:r>
      <w:r>
        <w:rPr>
          <w:rFonts w:ascii="宋体" w:eastAsia="宋体" w:hAnsi="宋体" w:hint="eastAsia"/>
          <w:b/>
          <w:bCs/>
          <w:szCs w:val="21"/>
        </w:rPr>
        <w:t>：</w:t>
      </w:r>
      <w:r>
        <w:rPr>
          <w:rFonts w:hint="eastAsia"/>
          <w:b/>
          <w:bCs/>
        </w:rPr>
        <w:t>合作多个项目建议选择基于多维数据的专业综合数据报告。</w:t>
      </w:r>
    </w:p>
    <w:p w14:paraId="3DF2E809" w14:textId="77777777" w:rsidR="005C0E32" w:rsidRDefault="005C0E32" w:rsidP="005C0E32">
      <w:pPr>
        <w:pStyle w:val="af9"/>
        <w:numPr>
          <w:ilvl w:val="0"/>
          <w:numId w:val="10"/>
        </w:numPr>
        <w:spacing w:line="360" w:lineRule="auto"/>
        <w:ind w:firstLineChars="0"/>
        <w:rPr>
          <w:b/>
          <w:bCs/>
        </w:rPr>
      </w:pPr>
      <w:r w:rsidRPr="005244FF">
        <w:rPr>
          <w:rFonts w:hint="eastAsia"/>
          <w:b/>
          <w:bCs/>
        </w:rPr>
        <w:t>《</w:t>
      </w:r>
      <w:r w:rsidRPr="005244FF">
        <w:rPr>
          <w:rFonts w:hint="eastAsia"/>
          <w:b/>
          <w:bCs/>
        </w:rPr>
        <w:t>XX</w:t>
      </w:r>
      <w:r w:rsidRPr="005244FF">
        <w:rPr>
          <w:rFonts w:hint="eastAsia"/>
          <w:b/>
          <w:bCs/>
        </w:rPr>
        <w:t>专业综合评价数据报告》（多维）</w:t>
      </w:r>
    </w:p>
    <w:p w14:paraId="2ABC8394" w14:textId="77777777" w:rsidR="005C0E32" w:rsidRPr="006A29BC" w:rsidRDefault="005C0E32" w:rsidP="005C0E32">
      <w:pPr>
        <w:pStyle w:val="af9"/>
        <w:numPr>
          <w:ilvl w:val="0"/>
          <w:numId w:val="9"/>
        </w:numPr>
        <w:spacing w:before="240" w:after="240" w:line="276" w:lineRule="auto"/>
        <w:ind w:firstLineChars="0"/>
        <w:rPr>
          <w:rFonts w:ascii="宋体" w:eastAsia="宋体" w:hAnsi="宋体" w:hint="eastAsia"/>
          <w:b/>
          <w:bCs/>
          <w:sz w:val="24"/>
          <w:szCs w:val="24"/>
        </w:rPr>
      </w:pPr>
      <w:r w:rsidRPr="006A29BC">
        <w:rPr>
          <w:rFonts w:ascii="宋体" w:eastAsia="宋体" w:hAnsi="宋体" w:hint="eastAsia"/>
          <w:b/>
          <w:bCs/>
          <w:sz w:val="24"/>
          <w:szCs w:val="24"/>
        </w:rPr>
        <w:t>质量监测调研原始数据</w:t>
      </w:r>
    </w:p>
    <w:bookmarkEnd w:id="26"/>
    <w:bookmarkEnd w:id="28"/>
    <w:p w14:paraId="35C6F1D7" w14:textId="77777777" w:rsidR="00B646BF" w:rsidRDefault="00000000">
      <w:pPr>
        <w:spacing w:beforeLines="50" w:before="120" w:afterLines="50" w:after="120" w:line="360" w:lineRule="auto"/>
        <w:outlineLvl w:val="0"/>
        <w:rPr>
          <w:rFonts w:ascii="Calibri" w:hAnsi="Calibri"/>
          <w:b/>
          <w:color w:val="4BACC6"/>
          <w:sz w:val="32"/>
        </w:rPr>
      </w:pPr>
      <w:r>
        <w:rPr>
          <w:rFonts w:ascii="Calibri" w:hAnsi="Calibri" w:hint="eastAsia"/>
          <w:b/>
          <w:color w:val="4BACC6"/>
          <w:sz w:val="32"/>
        </w:rPr>
        <w:t>项目时间</w:t>
      </w:r>
    </w:p>
    <w:p w14:paraId="2C389AD3" w14:textId="77777777" w:rsidR="00B646BF" w:rsidRDefault="00000000">
      <w:pPr>
        <w:spacing w:line="360" w:lineRule="auto"/>
        <w:rPr>
          <w:rFonts w:ascii="楷体" w:eastAsia="楷体" w:hAnsi="楷体" w:hint="eastAsia"/>
          <w:sz w:val="22"/>
        </w:rPr>
      </w:pPr>
      <w:r>
        <w:rPr>
          <w:rFonts w:ascii="楷体" w:eastAsia="楷体" w:hAnsi="楷体"/>
          <w:sz w:val="22"/>
        </w:rPr>
        <w:lastRenderedPageBreak/>
        <w:t>特别说明</w:t>
      </w:r>
      <w:r>
        <w:rPr>
          <w:rFonts w:ascii="楷体" w:eastAsia="楷体" w:hAnsi="楷体" w:hint="eastAsia"/>
          <w:sz w:val="22"/>
        </w:rPr>
        <w:t>：</w:t>
      </w:r>
    </w:p>
    <w:p w14:paraId="129862B4" w14:textId="77777777" w:rsidR="00B646BF" w:rsidRDefault="00000000">
      <w:pPr>
        <w:pStyle w:val="af9"/>
        <w:numPr>
          <w:ilvl w:val="0"/>
          <w:numId w:val="8"/>
        </w:numPr>
        <w:spacing w:line="360" w:lineRule="auto"/>
        <w:ind w:firstLineChars="0"/>
        <w:rPr>
          <w:rFonts w:ascii="楷体" w:eastAsia="楷体" w:hAnsi="楷体" w:hint="eastAsia"/>
          <w:sz w:val="22"/>
        </w:rPr>
      </w:pPr>
      <w:r>
        <w:rPr>
          <w:rFonts w:ascii="楷体" w:eastAsia="楷体" w:hAnsi="楷体"/>
          <w:sz w:val="22"/>
        </w:rPr>
        <w:t>本项目属常态化监测项目</w:t>
      </w:r>
      <w:r>
        <w:rPr>
          <w:rFonts w:ascii="楷体" w:eastAsia="楷体" w:hAnsi="楷体" w:hint="eastAsia"/>
          <w:sz w:val="22"/>
        </w:rPr>
        <w:t>，</w:t>
      </w:r>
      <w:r>
        <w:rPr>
          <w:rFonts w:ascii="楷体" w:eastAsia="楷体" w:hAnsi="楷体"/>
          <w:sz w:val="22"/>
        </w:rPr>
        <w:t>其持续期以</w:t>
      </w:r>
      <w:r>
        <w:rPr>
          <w:rFonts w:ascii="楷体" w:eastAsia="楷体" w:hAnsi="楷体" w:hint="eastAsia"/>
          <w:sz w:val="22"/>
        </w:rPr>
        <w:t>“年度”计算，但为明确数据和报告的交付时间，使学校对项目有更清晰把控，特以“天”为单位说明项目交付所需时间。</w:t>
      </w:r>
    </w:p>
    <w:p w14:paraId="7B0F42E4" w14:textId="77777777" w:rsidR="00B646BF" w:rsidRDefault="00000000">
      <w:pPr>
        <w:pStyle w:val="af9"/>
        <w:numPr>
          <w:ilvl w:val="0"/>
          <w:numId w:val="8"/>
        </w:numPr>
        <w:spacing w:line="360" w:lineRule="auto"/>
        <w:ind w:firstLineChars="0"/>
      </w:pPr>
      <w:r>
        <w:rPr>
          <w:rFonts w:ascii="楷体" w:eastAsia="楷体" w:hAnsi="楷体"/>
          <w:sz w:val="22"/>
        </w:rPr>
        <w:t>质量</w:t>
      </w:r>
      <w:r>
        <w:rPr>
          <w:rFonts w:ascii="楷体" w:eastAsia="楷体" w:hAnsi="楷体" w:hint="eastAsia"/>
          <w:sz w:val="22"/>
        </w:rPr>
        <w:t>监测</w:t>
      </w:r>
      <w:r>
        <w:rPr>
          <w:rFonts w:ascii="楷体" w:eastAsia="楷体" w:hAnsi="楷体"/>
          <w:sz w:val="22"/>
        </w:rPr>
        <w:t>体系中各子项目学校可进行筛选</w:t>
      </w:r>
      <w:r>
        <w:rPr>
          <w:rFonts w:ascii="楷体" w:eastAsia="楷体" w:hAnsi="楷体" w:hint="eastAsia"/>
          <w:sz w:val="22"/>
        </w:rPr>
        <w:t>，</w:t>
      </w:r>
      <w:r>
        <w:rPr>
          <w:rFonts w:ascii="楷体" w:eastAsia="楷体" w:hAnsi="楷体"/>
          <w:sz w:val="22"/>
        </w:rPr>
        <w:t>后续报告撰写</w:t>
      </w:r>
      <w:r>
        <w:rPr>
          <w:rFonts w:ascii="楷体" w:eastAsia="楷体" w:hAnsi="楷体" w:hint="eastAsia"/>
          <w:sz w:val="22"/>
        </w:rPr>
        <w:t>、</w:t>
      </w:r>
      <w:r>
        <w:rPr>
          <w:rFonts w:ascii="楷体" w:eastAsia="楷体" w:hAnsi="楷体"/>
          <w:sz w:val="22"/>
        </w:rPr>
        <w:t>时长和报价也将会根据质量保障体系完整情况进行调整</w:t>
      </w:r>
    </w:p>
    <w:tbl>
      <w:tblPr>
        <w:tblW w:w="8472" w:type="dxa"/>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101"/>
        <w:gridCol w:w="1417"/>
        <w:gridCol w:w="3402"/>
        <w:gridCol w:w="992"/>
        <w:gridCol w:w="1560"/>
      </w:tblGrid>
      <w:tr w:rsidR="00B646BF" w14:paraId="5E90631B" w14:textId="77777777">
        <w:trPr>
          <w:trHeight w:val="300"/>
          <w:tblHeader/>
          <w:jc w:val="center"/>
        </w:trPr>
        <w:tc>
          <w:tcPr>
            <w:tcW w:w="1101" w:type="dxa"/>
            <w:shd w:val="clear" w:color="auto" w:fill="4BACC6"/>
            <w:noWrap/>
            <w:vAlign w:val="center"/>
          </w:tcPr>
          <w:p w14:paraId="13862B2D" w14:textId="77777777" w:rsidR="00B646BF" w:rsidRDefault="00000000">
            <w:pPr>
              <w:widowControl/>
              <w:jc w:val="center"/>
              <w:rPr>
                <w:rFonts w:ascii="微软雅黑" w:eastAsia="微软雅黑" w:hAnsi="微软雅黑" w:cs="宋体" w:hint="eastAsia"/>
                <w:b/>
                <w:bCs/>
                <w:color w:val="FFFFFF"/>
                <w:kern w:val="0"/>
                <w:sz w:val="18"/>
                <w:szCs w:val="18"/>
              </w:rPr>
            </w:pPr>
            <w:bookmarkStart w:id="40" w:name="_Hlk34039364"/>
            <w:r>
              <w:rPr>
                <w:rFonts w:ascii="微软雅黑" w:eastAsia="微软雅黑" w:hAnsi="微软雅黑" w:cs="宋体" w:hint="eastAsia"/>
                <w:b/>
                <w:bCs/>
                <w:color w:val="FFFFFF"/>
                <w:kern w:val="0"/>
                <w:sz w:val="18"/>
                <w:szCs w:val="18"/>
              </w:rPr>
              <w:t>名称</w:t>
            </w:r>
          </w:p>
        </w:tc>
        <w:tc>
          <w:tcPr>
            <w:tcW w:w="1417" w:type="dxa"/>
            <w:shd w:val="clear" w:color="auto" w:fill="4BACC6"/>
            <w:noWrap/>
            <w:vAlign w:val="center"/>
          </w:tcPr>
          <w:p w14:paraId="1D332B0D" w14:textId="77777777" w:rsidR="00B646BF" w:rsidRDefault="00000000">
            <w:pPr>
              <w:widowControl/>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项目</w:t>
            </w:r>
          </w:p>
        </w:tc>
        <w:tc>
          <w:tcPr>
            <w:tcW w:w="3402" w:type="dxa"/>
            <w:shd w:val="clear" w:color="auto" w:fill="4BACC6"/>
            <w:noWrap/>
            <w:vAlign w:val="center"/>
          </w:tcPr>
          <w:p w14:paraId="4F07530F" w14:textId="77777777" w:rsidR="00B646BF" w:rsidRDefault="00000000">
            <w:pPr>
              <w:widowControl/>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子项目</w:t>
            </w:r>
          </w:p>
        </w:tc>
        <w:tc>
          <w:tcPr>
            <w:tcW w:w="992" w:type="dxa"/>
            <w:shd w:val="clear" w:color="auto" w:fill="4BACC6"/>
            <w:noWrap/>
            <w:vAlign w:val="center"/>
          </w:tcPr>
          <w:p w14:paraId="670A4F46" w14:textId="77777777" w:rsidR="00B646BF" w:rsidRDefault="00000000">
            <w:pPr>
              <w:widowControl/>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所需天数</w:t>
            </w:r>
          </w:p>
        </w:tc>
        <w:tc>
          <w:tcPr>
            <w:tcW w:w="1560" w:type="dxa"/>
            <w:shd w:val="clear" w:color="auto" w:fill="4BACC6"/>
          </w:tcPr>
          <w:p w14:paraId="11900EB1" w14:textId="77777777" w:rsidR="00B646BF" w:rsidRDefault="00000000">
            <w:pPr>
              <w:widowControl/>
              <w:jc w:val="center"/>
              <w:rPr>
                <w:rFonts w:ascii="微软雅黑" w:eastAsia="微软雅黑" w:hAnsi="微软雅黑" w:cs="宋体" w:hint="eastAsia"/>
                <w:b/>
                <w:bCs/>
                <w:color w:val="FFFFFF"/>
                <w:kern w:val="0"/>
                <w:sz w:val="18"/>
                <w:szCs w:val="18"/>
              </w:rPr>
            </w:pPr>
            <w:r>
              <w:rPr>
                <w:rFonts w:ascii="微软雅黑" w:eastAsia="微软雅黑" w:hAnsi="微软雅黑" w:cs="宋体" w:hint="eastAsia"/>
                <w:b/>
                <w:bCs/>
                <w:color w:val="FFFFFF"/>
                <w:kern w:val="0"/>
                <w:sz w:val="18"/>
                <w:szCs w:val="18"/>
              </w:rPr>
              <w:t>频次</w:t>
            </w:r>
          </w:p>
        </w:tc>
      </w:tr>
      <w:tr w:rsidR="00B646BF" w14:paraId="1D7FA9E9" w14:textId="77777777">
        <w:trPr>
          <w:trHeight w:val="330"/>
          <w:jc w:val="center"/>
        </w:trPr>
        <w:tc>
          <w:tcPr>
            <w:tcW w:w="1101" w:type="dxa"/>
            <w:vMerge w:val="restart"/>
            <w:noWrap/>
            <w:vAlign w:val="center"/>
          </w:tcPr>
          <w:p w14:paraId="0989EE40" w14:textId="77777777" w:rsidR="00B646BF" w:rsidRDefault="00000000">
            <w:pPr>
              <w:jc w:val="center"/>
              <w:rPr>
                <w:rFonts w:ascii="微软雅黑" w:eastAsia="微软雅黑" w:hAnsi="微软雅黑" w:cs="宋体" w:hint="eastAsia"/>
                <w:b/>
                <w:bCs/>
                <w:color w:val="000000"/>
                <w:kern w:val="0"/>
                <w:sz w:val="18"/>
                <w:szCs w:val="18"/>
              </w:rPr>
            </w:pPr>
            <w:r>
              <w:rPr>
                <w:rFonts w:ascii="微软雅黑" w:eastAsia="微软雅黑" w:hAnsi="微软雅黑" w:cs="宋体" w:hint="eastAsia"/>
                <w:b/>
                <w:bCs/>
                <w:color w:val="000000"/>
                <w:kern w:val="0"/>
                <w:sz w:val="18"/>
                <w:szCs w:val="18"/>
              </w:rPr>
              <w:t>质量保障监测体系</w:t>
            </w:r>
          </w:p>
        </w:tc>
        <w:tc>
          <w:tcPr>
            <w:tcW w:w="1417" w:type="dxa"/>
            <w:vMerge w:val="restart"/>
            <w:noWrap/>
            <w:vAlign w:val="center"/>
          </w:tcPr>
          <w:p w14:paraId="0B85CD64" w14:textId="77777777" w:rsidR="00B646BF" w:rsidRDefault="00000000">
            <w:pPr>
              <w:jc w:val="center"/>
              <w:rPr>
                <w:rFonts w:ascii="微软雅黑" w:eastAsia="微软雅黑" w:hAnsi="微软雅黑" w:cs="宋体" w:hint="eastAsia"/>
                <w:b/>
                <w:color w:val="000000"/>
                <w:kern w:val="0"/>
                <w:sz w:val="18"/>
                <w:szCs w:val="18"/>
              </w:rPr>
            </w:pPr>
            <w:r>
              <w:rPr>
                <w:rFonts w:ascii="微软雅黑" w:eastAsia="微软雅黑" w:hAnsi="微软雅黑" w:cs="宋体" w:hint="eastAsia"/>
                <w:b/>
                <w:color w:val="000000"/>
                <w:kern w:val="0"/>
                <w:sz w:val="18"/>
                <w:szCs w:val="18"/>
              </w:rPr>
              <w:t>质量保障监测体系实施</w:t>
            </w:r>
          </w:p>
        </w:tc>
        <w:tc>
          <w:tcPr>
            <w:tcW w:w="3402" w:type="dxa"/>
            <w:noWrap/>
            <w:vAlign w:val="center"/>
          </w:tcPr>
          <w:p w14:paraId="27253B63" w14:textId="77777777" w:rsidR="00B646BF" w:rsidRDefault="00000000">
            <w:pPr>
              <w:widowControl/>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生源与招生监测</w:t>
            </w:r>
          </w:p>
        </w:tc>
        <w:tc>
          <w:tcPr>
            <w:tcW w:w="992" w:type="dxa"/>
            <w:noWrap/>
            <w:vAlign w:val="center"/>
          </w:tcPr>
          <w:p w14:paraId="5A64186F"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color w:val="000000"/>
                <w:kern w:val="0"/>
                <w:sz w:val="18"/>
                <w:szCs w:val="18"/>
              </w:rPr>
              <w:t>30</w:t>
            </w:r>
            <w:r>
              <w:rPr>
                <w:rFonts w:ascii="Calibri" w:eastAsia="微软雅黑" w:hAnsi="Calibri" w:cs="宋体"/>
                <w:color w:val="000000"/>
                <w:kern w:val="0"/>
                <w:sz w:val="18"/>
                <w:szCs w:val="18"/>
              </w:rPr>
              <w:t>天</w:t>
            </w:r>
          </w:p>
        </w:tc>
        <w:tc>
          <w:tcPr>
            <w:tcW w:w="1560" w:type="dxa"/>
            <w:vAlign w:val="center"/>
          </w:tcPr>
          <w:p w14:paraId="4D0A4180" w14:textId="77777777" w:rsidR="00B646BF" w:rsidRDefault="00000000">
            <w:pPr>
              <w:widowControl/>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每年一次</w:t>
            </w:r>
          </w:p>
        </w:tc>
      </w:tr>
      <w:tr w:rsidR="00B646BF" w14:paraId="3A092A88" w14:textId="77777777">
        <w:trPr>
          <w:trHeight w:val="330"/>
          <w:jc w:val="center"/>
        </w:trPr>
        <w:tc>
          <w:tcPr>
            <w:tcW w:w="1101" w:type="dxa"/>
            <w:vMerge/>
            <w:noWrap/>
            <w:vAlign w:val="center"/>
          </w:tcPr>
          <w:p w14:paraId="6436F599" w14:textId="77777777" w:rsidR="00B646BF" w:rsidRDefault="00B646BF">
            <w:pPr>
              <w:widowControl/>
              <w:jc w:val="center"/>
              <w:rPr>
                <w:rFonts w:ascii="微软雅黑" w:eastAsia="微软雅黑" w:hAnsi="微软雅黑" w:cs="宋体" w:hint="eastAsia"/>
                <w:b/>
                <w:bCs/>
                <w:color w:val="000000"/>
                <w:kern w:val="0"/>
                <w:sz w:val="18"/>
                <w:szCs w:val="18"/>
              </w:rPr>
            </w:pPr>
          </w:p>
        </w:tc>
        <w:tc>
          <w:tcPr>
            <w:tcW w:w="1417" w:type="dxa"/>
            <w:vMerge/>
            <w:noWrap/>
            <w:vAlign w:val="center"/>
          </w:tcPr>
          <w:p w14:paraId="2B78D2EA"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vAlign w:val="center"/>
          </w:tcPr>
          <w:p w14:paraId="554016CD" w14:textId="77777777" w:rsidR="00B646BF" w:rsidRDefault="00000000">
            <w:pPr>
              <w:widowControl/>
              <w:jc w:val="left"/>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学生学习与成长监测</w:t>
            </w:r>
          </w:p>
        </w:tc>
        <w:tc>
          <w:tcPr>
            <w:tcW w:w="992" w:type="dxa"/>
            <w:noWrap/>
            <w:vAlign w:val="center"/>
          </w:tcPr>
          <w:p w14:paraId="16B78E5E" w14:textId="77777777" w:rsidR="00B646BF" w:rsidRDefault="00000000">
            <w:pPr>
              <w:widowControl/>
              <w:jc w:val="center"/>
              <w:rPr>
                <w:rFonts w:ascii="微软雅黑" w:eastAsia="微软雅黑" w:hAnsi="微软雅黑" w:cs="宋体" w:hint="eastAsia"/>
                <w:color w:val="000000"/>
                <w:kern w:val="0"/>
                <w:sz w:val="18"/>
                <w:szCs w:val="18"/>
              </w:rPr>
            </w:pPr>
            <w:r>
              <w:rPr>
                <w:rFonts w:ascii="Calibri" w:eastAsia="微软雅黑" w:hAnsi="Calibri" w:cs="宋体"/>
                <w:color w:val="000000"/>
                <w:kern w:val="0"/>
                <w:sz w:val="18"/>
                <w:szCs w:val="18"/>
              </w:rPr>
              <w:t>30</w:t>
            </w:r>
            <w:r>
              <w:rPr>
                <w:rFonts w:ascii="Calibri" w:eastAsia="微软雅黑" w:hAnsi="Calibri" w:cs="宋体"/>
                <w:color w:val="000000"/>
                <w:kern w:val="0"/>
                <w:sz w:val="18"/>
                <w:szCs w:val="18"/>
              </w:rPr>
              <w:t>天</w:t>
            </w:r>
          </w:p>
        </w:tc>
        <w:tc>
          <w:tcPr>
            <w:tcW w:w="1560" w:type="dxa"/>
            <w:vAlign w:val="center"/>
          </w:tcPr>
          <w:p w14:paraId="1ADD6219" w14:textId="77777777" w:rsidR="00B646BF" w:rsidRDefault="00000000">
            <w:pPr>
              <w:widowControl/>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每年一次</w:t>
            </w:r>
          </w:p>
        </w:tc>
      </w:tr>
      <w:tr w:rsidR="00B646BF" w14:paraId="7BA0AFFD" w14:textId="77777777">
        <w:trPr>
          <w:trHeight w:val="330"/>
          <w:jc w:val="center"/>
        </w:trPr>
        <w:tc>
          <w:tcPr>
            <w:tcW w:w="1101" w:type="dxa"/>
            <w:vMerge/>
            <w:noWrap/>
            <w:vAlign w:val="center"/>
          </w:tcPr>
          <w:p w14:paraId="0CB167E5"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noWrap/>
            <w:vAlign w:val="center"/>
          </w:tcPr>
          <w:p w14:paraId="0CEB706B"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vAlign w:val="center"/>
          </w:tcPr>
          <w:p w14:paraId="3F448380" w14:textId="77777777" w:rsidR="00B646BF" w:rsidRDefault="00000000">
            <w:pPr>
              <w:widowControl/>
              <w:jc w:val="left"/>
              <w:rPr>
                <w:rFonts w:ascii="微软雅黑" w:eastAsia="微软雅黑" w:hAnsi="微软雅黑" w:cs="宋体" w:hint="eastAsia"/>
                <w:color w:val="000000"/>
                <w:kern w:val="0"/>
                <w:sz w:val="18"/>
                <w:szCs w:val="18"/>
              </w:rPr>
            </w:pPr>
            <w:r>
              <w:rPr>
                <w:rFonts w:ascii="Calibri" w:eastAsia="微软雅黑" w:hAnsi="Calibri" w:cs="宋体" w:hint="eastAsia"/>
                <w:color w:val="000000"/>
                <w:kern w:val="0"/>
                <w:sz w:val="18"/>
                <w:szCs w:val="18"/>
              </w:rPr>
              <w:t>教师教学与发展</w:t>
            </w:r>
            <w:r>
              <w:rPr>
                <w:rFonts w:ascii="Calibri" w:eastAsia="微软雅黑" w:hAnsi="Calibri" w:cs="宋体"/>
                <w:color w:val="000000"/>
                <w:kern w:val="0"/>
                <w:sz w:val="18"/>
                <w:szCs w:val="18"/>
              </w:rPr>
              <w:t>监测</w:t>
            </w:r>
          </w:p>
        </w:tc>
        <w:tc>
          <w:tcPr>
            <w:tcW w:w="992" w:type="dxa"/>
            <w:noWrap/>
            <w:vAlign w:val="center"/>
          </w:tcPr>
          <w:p w14:paraId="42759C0B" w14:textId="77777777" w:rsidR="00B646BF" w:rsidRDefault="00000000">
            <w:pPr>
              <w:widowControl/>
              <w:jc w:val="center"/>
              <w:rPr>
                <w:rFonts w:ascii="微软雅黑" w:eastAsia="微软雅黑" w:hAnsi="微软雅黑" w:cs="宋体" w:hint="eastAsia"/>
                <w:color w:val="000000"/>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34F023F8"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每年一次</w:t>
            </w:r>
          </w:p>
        </w:tc>
      </w:tr>
      <w:tr w:rsidR="00B646BF" w14:paraId="36BCE309" w14:textId="77777777">
        <w:trPr>
          <w:trHeight w:val="330"/>
          <w:jc w:val="center"/>
        </w:trPr>
        <w:tc>
          <w:tcPr>
            <w:tcW w:w="1101" w:type="dxa"/>
            <w:vMerge/>
            <w:noWrap/>
            <w:vAlign w:val="center"/>
          </w:tcPr>
          <w:p w14:paraId="5E8C8760"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noWrap/>
            <w:vAlign w:val="center"/>
          </w:tcPr>
          <w:p w14:paraId="5032617D"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vAlign w:val="center"/>
          </w:tcPr>
          <w:p w14:paraId="37D2DCAA" w14:textId="77777777" w:rsidR="00B646BF" w:rsidRDefault="00000000">
            <w:pPr>
              <w:widowControl/>
              <w:jc w:val="left"/>
              <w:rPr>
                <w:rFonts w:ascii="微软雅黑" w:eastAsia="微软雅黑" w:hAnsi="微软雅黑" w:cs="宋体" w:hint="eastAsia"/>
                <w:color w:val="000000"/>
                <w:kern w:val="0"/>
                <w:sz w:val="18"/>
                <w:szCs w:val="18"/>
              </w:rPr>
            </w:pPr>
            <w:r>
              <w:rPr>
                <w:rFonts w:ascii="Calibri" w:eastAsia="微软雅黑" w:hAnsi="Calibri" w:cs="宋体" w:hint="eastAsia"/>
                <w:color w:val="000000"/>
                <w:kern w:val="0"/>
                <w:sz w:val="18"/>
                <w:szCs w:val="18"/>
              </w:rPr>
              <w:t>应届</w:t>
            </w:r>
            <w:r>
              <w:rPr>
                <w:rFonts w:ascii="Calibri" w:eastAsia="微软雅黑" w:hAnsi="Calibri" w:cs="宋体"/>
                <w:color w:val="000000"/>
                <w:kern w:val="0"/>
                <w:sz w:val="18"/>
                <w:szCs w:val="18"/>
              </w:rPr>
              <w:t>毕业生</w:t>
            </w:r>
            <w:r>
              <w:rPr>
                <w:rFonts w:ascii="Calibri" w:eastAsia="微软雅黑" w:hAnsi="Calibri" w:cs="宋体" w:hint="eastAsia"/>
                <w:color w:val="000000"/>
                <w:kern w:val="0"/>
                <w:sz w:val="18"/>
                <w:szCs w:val="18"/>
              </w:rPr>
              <w:t>跟踪</w:t>
            </w:r>
            <w:r>
              <w:rPr>
                <w:rFonts w:ascii="Calibri" w:eastAsia="微软雅黑" w:hAnsi="Calibri" w:cs="宋体"/>
                <w:color w:val="000000"/>
                <w:kern w:val="0"/>
                <w:sz w:val="18"/>
                <w:szCs w:val="18"/>
              </w:rPr>
              <w:t>监测</w:t>
            </w:r>
          </w:p>
        </w:tc>
        <w:tc>
          <w:tcPr>
            <w:tcW w:w="992" w:type="dxa"/>
            <w:noWrap/>
            <w:vAlign w:val="center"/>
          </w:tcPr>
          <w:p w14:paraId="2F6840F2" w14:textId="77777777" w:rsidR="00B646BF" w:rsidRDefault="00000000">
            <w:pPr>
              <w:widowControl/>
              <w:jc w:val="center"/>
              <w:rPr>
                <w:rFonts w:ascii="微软雅黑" w:eastAsia="微软雅黑" w:hAnsi="微软雅黑" w:cs="宋体" w:hint="eastAsia"/>
                <w:color w:val="000000"/>
                <w:kern w:val="0"/>
                <w:sz w:val="18"/>
                <w:szCs w:val="18"/>
              </w:rPr>
            </w:pPr>
            <w:r>
              <w:rPr>
                <w:rFonts w:ascii="Calibri" w:eastAsia="微软雅黑" w:hAnsi="Calibri" w:cs="宋体"/>
                <w:color w:val="000000"/>
                <w:kern w:val="0"/>
                <w:sz w:val="18"/>
                <w:szCs w:val="18"/>
              </w:rPr>
              <w:t>60</w:t>
            </w:r>
            <w:r>
              <w:rPr>
                <w:rFonts w:ascii="Calibri" w:eastAsia="微软雅黑" w:hAnsi="Calibri" w:cs="宋体"/>
                <w:color w:val="000000"/>
                <w:kern w:val="0"/>
                <w:sz w:val="18"/>
                <w:szCs w:val="18"/>
              </w:rPr>
              <w:t>天</w:t>
            </w:r>
          </w:p>
        </w:tc>
        <w:tc>
          <w:tcPr>
            <w:tcW w:w="1560" w:type="dxa"/>
            <w:vAlign w:val="center"/>
          </w:tcPr>
          <w:p w14:paraId="4D905FED"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每年一次</w:t>
            </w:r>
          </w:p>
        </w:tc>
      </w:tr>
      <w:tr w:rsidR="00B646BF" w14:paraId="0DFFE3E2" w14:textId="77777777">
        <w:trPr>
          <w:trHeight w:val="330"/>
          <w:jc w:val="center"/>
        </w:trPr>
        <w:tc>
          <w:tcPr>
            <w:tcW w:w="1101" w:type="dxa"/>
            <w:vMerge/>
            <w:noWrap/>
            <w:vAlign w:val="center"/>
          </w:tcPr>
          <w:p w14:paraId="075EA53E"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noWrap/>
            <w:vAlign w:val="center"/>
          </w:tcPr>
          <w:p w14:paraId="54F5EE40"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vAlign w:val="center"/>
          </w:tcPr>
          <w:p w14:paraId="79C1E5F6" w14:textId="77777777" w:rsidR="00B646BF" w:rsidRDefault="00000000">
            <w:pPr>
              <w:widowControl/>
              <w:jc w:val="left"/>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中长期发展与培养达成</w:t>
            </w:r>
            <w:r>
              <w:rPr>
                <w:rFonts w:ascii="Calibri" w:eastAsia="微软雅黑" w:hAnsi="Calibri" w:cs="宋体"/>
                <w:color w:val="000000"/>
                <w:kern w:val="0"/>
                <w:sz w:val="18"/>
                <w:szCs w:val="18"/>
              </w:rPr>
              <w:t>监测</w:t>
            </w:r>
          </w:p>
        </w:tc>
        <w:tc>
          <w:tcPr>
            <w:tcW w:w="992" w:type="dxa"/>
            <w:noWrap/>
            <w:vAlign w:val="center"/>
          </w:tcPr>
          <w:p w14:paraId="1EA010F8"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60</w:t>
            </w:r>
            <w:r>
              <w:rPr>
                <w:rFonts w:ascii="Calibri" w:eastAsia="微软雅黑" w:hAnsi="Calibri" w:cs="宋体" w:hint="eastAsia"/>
                <w:color w:val="000000"/>
                <w:kern w:val="0"/>
                <w:sz w:val="18"/>
                <w:szCs w:val="18"/>
              </w:rPr>
              <w:t>天</w:t>
            </w:r>
          </w:p>
        </w:tc>
        <w:tc>
          <w:tcPr>
            <w:tcW w:w="1560" w:type="dxa"/>
            <w:vAlign w:val="center"/>
          </w:tcPr>
          <w:p w14:paraId="7DB7C4A5"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每年一次</w:t>
            </w:r>
          </w:p>
        </w:tc>
      </w:tr>
      <w:tr w:rsidR="00B646BF" w14:paraId="633A0A82" w14:textId="77777777">
        <w:trPr>
          <w:trHeight w:val="330"/>
          <w:jc w:val="center"/>
        </w:trPr>
        <w:tc>
          <w:tcPr>
            <w:tcW w:w="1101" w:type="dxa"/>
            <w:vMerge/>
            <w:noWrap/>
            <w:vAlign w:val="center"/>
          </w:tcPr>
          <w:p w14:paraId="2CD604FB"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noWrap/>
            <w:vAlign w:val="center"/>
          </w:tcPr>
          <w:p w14:paraId="2989EDA6"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vAlign w:val="center"/>
          </w:tcPr>
          <w:p w14:paraId="2B6EB254" w14:textId="77777777" w:rsidR="00B646BF" w:rsidRDefault="00000000">
            <w:pPr>
              <w:widowControl/>
              <w:jc w:val="left"/>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用人单位反馈监测</w:t>
            </w:r>
          </w:p>
        </w:tc>
        <w:tc>
          <w:tcPr>
            <w:tcW w:w="992" w:type="dxa"/>
            <w:noWrap/>
            <w:vAlign w:val="center"/>
          </w:tcPr>
          <w:p w14:paraId="50BBFCC2"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60</w:t>
            </w:r>
            <w:r>
              <w:rPr>
                <w:rFonts w:ascii="Calibri" w:eastAsia="微软雅黑" w:hAnsi="Calibri" w:cs="宋体" w:hint="eastAsia"/>
                <w:color w:val="000000"/>
                <w:kern w:val="0"/>
                <w:sz w:val="18"/>
                <w:szCs w:val="18"/>
              </w:rPr>
              <w:t>天</w:t>
            </w:r>
          </w:p>
        </w:tc>
        <w:tc>
          <w:tcPr>
            <w:tcW w:w="1560" w:type="dxa"/>
            <w:vAlign w:val="center"/>
          </w:tcPr>
          <w:p w14:paraId="56DC79D0"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每年一次</w:t>
            </w:r>
          </w:p>
        </w:tc>
      </w:tr>
      <w:tr w:rsidR="00B646BF" w14:paraId="7026F767" w14:textId="77777777">
        <w:trPr>
          <w:trHeight w:val="330"/>
          <w:jc w:val="center"/>
        </w:trPr>
        <w:tc>
          <w:tcPr>
            <w:tcW w:w="1101" w:type="dxa"/>
            <w:vMerge/>
            <w:noWrap/>
            <w:vAlign w:val="center"/>
          </w:tcPr>
          <w:p w14:paraId="44B21749"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noWrap/>
            <w:vAlign w:val="center"/>
          </w:tcPr>
          <w:p w14:paraId="7F34213C"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vAlign w:val="center"/>
          </w:tcPr>
          <w:p w14:paraId="0DEBF336" w14:textId="77777777" w:rsidR="00B646BF" w:rsidRDefault="00000000">
            <w:pPr>
              <w:widowControl/>
              <w:jc w:val="left"/>
              <w:rPr>
                <w:rFonts w:ascii="Calibri" w:eastAsia="微软雅黑" w:hAnsi="Calibri" w:cs="宋体"/>
                <w:b/>
                <w:color w:val="000000"/>
                <w:kern w:val="0"/>
                <w:sz w:val="18"/>
                <w:szCs w:val="18"/>
              </w:rPr>
            </w:pPr>
            <w:r>
              <w:rPr>
                <w:rFonts w:ascii="Calibri" w:eastAsia="微软雅黑" w:hAnsi="Calibri" w:cs="宋体"/>
                <w:b/>
                <w:color w:val="000000"/>
                <w:kern w:val="0"/>
                <w:sz w:val="18"/>
                <w:szCs w:val="18"/>
              </w:rPr>
              <w:t>时间小计</w:t>
            </w:r>
          </w:p>
        </w:tc>
        <w:tc>
          <w:tcPr>
            <w:tcW w:w="992" w:type="dxa"/>
            <w:noWrap/>
            <w:vAlign w:val="center"/>
          </w:tcPr>
          <w:p w14:paraId="2FDE0E33" w14:textId="77777777" w:rsidR="00B646BF" w:rsidRDefault="00000000">
            <w:pPr>
              <w:widowControl/>
              <w:jc w:val="center"/>
              <w:rPr>
                <w:rFonts w:ascii="Calibri" w:eastAsia="微软雅黑" w:hAnsi="Calibri" w:cs="宋体"/>
                <w:b/>
                <w:color w:val="000000"/>
                <w:kern w:val="0"/>
                <w:sz w:val="18"/>
                <w:szCs w:val="18"/>
              </w:rPr>
            </w:pPr>
            <w:r>
              <w:rPr>
                <w:rFonts w:ascii="Calibri" w:eastAsia="微软雅黑" w:hAnsi="Calibri" w:cs="宋体" w:hint="eastAsia"/>
                <w:b/>
                <w:color w:val="000000"/>
                <w:kern w:val="0"/>
                <w:sz w:val="18"/>
                <w:szCs w:val="18"/>
              </w:rPr>
              <w:t>60</w:t>
            </w:r>
            <w:r>
              <w:rPr>
                <w:rFonts w:ascii="Calibri" w:eastAsia="微软雅黑" w:hAnsi="Calibri" w:cs="宋体" w:hint="eastAsia"/>
                <w:b/>
                <w:color w:val="000000"/>
                <w:kern w:val="0"/>
                <w:sz w:val="18"/>
                <w:szCs w:val="18"/>
              </w:rPr>
              <w:t>天</w:t>
            </w:r>
          </w:p>
        </w:tc>
        <w:tc>
          <w:tcPr>
            <w:tcW w:w="1560" w:type="dxa"/>
            <w:vAlign w:val="center"/>
          </w:tcPr>
          <w:p w14:paraId="74D37B1D" w14:textId="77777777" w:rsidR="00B646BF" w:rsidRDefault="00B646BF">
            <w:pPr>
              <w:jc w:val="center"/>
              <w:rPr>
                <w:rFonts w:ascii="微软雅黑" w:eastAsia="微软雅黑" w:hAnsi="微软雅黑" w:cs="宋体" w:hint="eastAsia"/>
                <w:color w:val="000000"/>
                <w:kern w:val="0"/>
                <w:sz w:val="18"/>
                <w:szCs w:val="18"/>
              </w:rPr>
            </w:pPr>
          </w:p>
        </w:tc>
      </w:tr>
      <w:tr w:rsidR="00B646BF" w14:paraId="044E48E0" w14:textId="77777777">
        <w:trPr>
          <w:trHeight w:val="330"/>
          <w:jc w:val="center"/>
        </w:trPr>
        <w:tc>
          <w:tcPr>
            <w:tcW w:w="1101" w:type="dxa"/>
            <w:vMerge/>
            <w:noWrap/>
            <w:vAlign w:val="center"/>
          </w:tcPr>
          <w:p w14:paraId="5876D407"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val="restart"/>
            <w:noWrap/>
            <w:vAlign w:val="center"/>
          </w:tcPr>
          <w:p w14:paraId="61B103C8" w14:textId="77777777" w:rsidR="00B646BF" w:rsidRDefault="00000000">
            <w:pPr>
              <w:jc w:val="center"/>
              <w:rPr>
                <w:rFonts w:ascii="微软雅黑" w:eastAsia="微软雅黑" w:hAnsi="微软雅黑" w:cs="宋体" w:hint="eastAsia"/>
                <w:b/>
                <w:color w:val="000000"/>
                <w:kern w:val="0"/>
                <w:sz w:val="18"/>
                <w:szCs w:val="18"/>
              </w:rPr>
            </w:pPr>
            <w:r>
              <w:rPr>
                <w:rFonts w:ascii="微软雅黑" w:eastAsia="微软雅黑" w:hAnsi="微软雅黑" w:cs="宋体" w:hint="eastAsia"/>
                <w:b/>
                <w:color w:val="000000"/>
                <w:kern w:val="0"/>
                <w:sz w:val="18"/>
                <w:szCs w:val="18"/>
              </w:rPr>
              <w:t>报告撰写</w:t>
            </w:r>
          </w:p>
        </w:tc>
        <w:tc>
          <w:tcPr>
            <w:tcW w:w="3402" w:type="dxa"/>
            <w:noWrap/>
          </w:tcPr>
          <w:p w14:paraId="5EEAF76E" w14:textId="77777777" w:rsidR="00B646BF" w:rsidRDefault="00000000">
            <w:pPr>
              <w:widowControl/>
              <w:jc w:val="left"/>
              <w:rPr>
                <w:rFonts w:ascii="微软雅黑" w:eastAsia="微软雅黑" w:hAnsi="微软雅黑" w:cs="宋体" w:hint="eastAsia"/>
                <w:bCs/>
                <w:kern w:val="0"/>
                <w:sz w:val="18"/>
                <w:szCs w:val="18"/>
              </w:rPr>
            </w:pPr>
            <w:r>
              <w:rPr>
                <w:rFonts w:ascii="微软雅黑" w:eastAsia="微软雅黑" w:hAnsi="微软雅黑" w:cs="宋体" w:hint="eastAsia"/>
                <w:bCs/>
                <w:kern w:val="0"/>
                <w:sz w:val="18"/>
                <w:szCs w:val="18"/>
              </w:rPr>
              <w:t>《生源与招生评价</w:t>
            </w:r>
            <w:r>
              <w:rPr>
                <w:rFonts w:ascii="微软雅黑" w:eastAsia="微软雅黑" w:hAnsi="微软雅黑" w:cs="宋体"/>
                <w:bCs/>
                <w:kern w:val="0"/>
                <w:sz w:val="18"/>
                <w:szCs w:val="18"/>
              </w:rPr>
              <w:t>报告</w:t>
            </w:r>
            <w:r>
              <w:rPr>
                <w:rFonts w:ascii="微软雅黑" w:eastAsia="微软雅黑" w:hAnsi="微软雅黑" w:cs="宋体" w:hint="eastAsia"/>
                <w:bCs/>
                <w:kern w:val="0"/>
                <w:sz w:val="18"/>
                <w:szCs w:val="18"/>
              </w:rPr>
              <w:t>》</w:t>
            </w:r>
          </w:p>
        </w:tc>
        <w:tc>
          <w:tcPr>
            <w:tcW w:w="992" w:type="dxa"/>
            <w:noWrap/>
            <w:vAlign w:val="center"/>
          </w:tcPr>
          <w:p w14:paraId="772326C0"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1A929441"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每年一份</w:t>
            </w:r>
          </w:p>
        </w:tc>
      </w:tr>
      <w:tr w:rsidR="00B646BF" w14:paraId="7678D24E" w14:textId="77777777">
        <w:trPr>
          <w:trHeight w:val="330"/>
          <w:jc w:val="center"/>
        </w:trPr>
        <w:tc>
          <w:tcPr>
            <w:tcW w:w="1101" w:type="dxa"/>
            <w:vMerge/>
            <w:noWrap/>
            <w:vAlign w:val="center"/>
          </w:tcPr>
          <w:p w14:paraId="21EE0B9A" w14:textId="77777777" w:rsidR="00B646BF" w:rsidRDefault="00B646BF">
            <w:pPr>
              <w:widowControl/>
              <w:rPr>
                <w:rFonts w:ascii="微软雅黑" w:eastAsia="微软雅黑" w:hAnsi="微软雅黑" w:cs="宋体" w:hint="eastAsia"/>
                <w:b/>
                <w:bCs/>
                <w:color w:val="000000"/>
                <w:kern w:val="0"/>
                <w:sz w:val="18"/>
                <w:szCs w:val="18"/>
              </w:rPr>
            </w:pPr>
          </w:p>
        </w:tc>
        <w:tc>
          <w:tcPr>
            <w:tcW w:w="1417" w:type="dxa"/>
            <w:vMerge/>
            <w:noWrap/>
            <w:vAlign w:val="center"/>
          </w:tcPr>
          <w:p w14:paraId="443FDD0D" w14:textId="77777777" w:rsidR="00B646BF" w:rsidRDefault="00B646BF">
            <w:pPr>
              <w:widowControl/>
              <w:jc w:val="center"/>
              <w:rPr>
                <w:rFonts w:ascii="微软雅黑" w:eastAsia="微软雅黑" w:hAnsi="微软雅黑" w:cs="宋体" w:hint="eastAsia"/>
                <w:b/>
                <w:color w:val="000000"/>
                <w:kern w:val="0"/>
                <w:sz w:val="18"/>
                <w:szCs w:val="18"/>
              </w:rPr>
            </w:pPr>
          </w:p>
        </w:tc>
        <w:tc>
          <w:tcPr>
            <w:tcW w:w="3402" w:type="dxa"/>
            <w:noWrap/>
          </w:tcPr>
          <w:p w14:paraId="611007D9" w14:textId="77777777" w:rsidR="00B646BF" w:rsidRDefault="00000000">
            <w:pPr>
              <w:widowControl/>
              <w:jc w:val="left"/>
            </w:pPr>
            <w:r>
              <w:rPr>
                <w:rFonts w:ascii="微软雅黑" w:eastAsia="微软雅黑" w:hAnsi="微软雅黑" w:cs="宋体" w:hint="eastAsia"/>
                <w:bCs/>
                <w:kern w:val="0"/>
                <w:sz w:val="18"/>
                <w:szCs w:val="18"/>
              </w:rPr>
              <w:t>《学生学习与成长评价</w:t>
            </w:r>
            <w:r>
              <w:rPr>
                <w:rFonts w:ascii="微软雅黑" w:eastAsia="微软雅黑" w:hAnsi="微软雅黑" w:cs="宋体"/>
                <w:bCs/>
                <w:kern w:val="0"/>
                <w:sz w:val="18"/>
                <w:szCs w:val="18"/>
              </w:rPr>
              <w:t>报告</w:t>
            </w:r>
            <w:r>
              <w:rPr>
                <w:rFonts w:ascii="微软雅黑" w:eastAsia="微软雅黑" w:hAnsi="微软雅黑" w:cs="宋体" w:hint="eastAsia"/>
                <w:bCs/>
                <w:kern w:val="0"/>
                <w:sz w:val="18"/>
                <w:szCs w:val="18"/>
              </w:rPr>
              <w:t>》</w:t>
            </w:r>
          </w:p>
        </w:tc>
        <w:tc>
          <w:tcPr>
            <w:tcW w:w="992" w:type="dxa"/>
            <w:noWrap/>
            <w:vAlign w:val="center"/>
          </w:tcPr>
          <w:p w14:paraId="3F09FEA7"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7D7B18F1"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每年一份</w:t>
            </w:r>
          </w:p>
        </w:tc>
      </w:tr>
      <w:tr w:rsidR="00B646BF" w14:paraId="75DE4B43" w14:textId="77777777">
        <w:trPr>
          <w:trHeight w:val="51"/>
          <w:jc w:val="center"/>
        </w:trPr>
        <w:tc>
          <w:tcPr>
            <w:tcW w:w="1101" w:type="dxa"/>
            <w:vMerge/>
            <w:vAlign w:val="center"/>
          </w:tcPr>
          <w:p w14:paraId="1428E4D0" w14:textId="77777777" w:rsidR="00B646BF" w:rsidRDefault="00B646BF">
            <w:pPr>
              <w:jc w:val="center"/>
              <w:rPr>
                <w:rFonts w:ascii="微软雅黑" w:eastAsia="微软雅黑" w:hAnsi="微软雅黑" w:cs="宋体" w:hint="eastAsia"/>
                <w:b/>
                <w:bCs/>
                <w:color w:val="000000"/>
                <w:kern w:val="0"/>
                <w:sz w:val="18"/>
                <w:szCs w:val="18"/>
              </w:rPr>
            </w:pPr>
          </w:p>
        </w:tc>
        <w:tc>
          <w:tcPr>
            <w:tcW w:w="1417" w:type="dxa"/>
            <w:vMerge/>
            <w:vAlign w:val="center"/>
          </w:tcPr>
          <w:p w14:paraId="7FDEB761" w14:textId="77777777" w:rsidR="00B646BF" w:rsidRDefault="00B646BF">
            <w:pPr>
              <w:jc w:val="center"/>
              <w:rPr>
                <w:rFonts w:ascii="微软雅黑" w:eastAsia="微软雅黑" w:hAnsi="微软雅黑" w:cs="宋体" w:hint="eastAsia"/>
                <w:b/>
                <w:bCs/>
                <w:color w:val="000000"/>
                <w:kern w:val="0"/>
                <w:sz w:val="18"/>
                <w:szCs w:val="18"/>
              </w:rPr>
            </w:pPr>
          </w:p>
        </w:tc>
        <w:tc>
          <w:tcPr>
            <w:tcW w:w="3402" w:type="dxa"/>
            <w:noWrap/>
            <w:vAlign w:val="center"/>
          </w:tcPr>
          <w:p w14:paraId="1E2E10CE" w14:textId="77777777" w:rsidR="00B646BF" w:rsidRDefault="00000000">
            <w:pPr>
              <w:widowControl/>
              <w:jc w:val="left"/>
              <w:rPr>
                <w:rFonts w:ascii="微软雅黑" w:eastAsia="微软雅黑" w:hAnsi="微软雅黑" w:cs="宋体" w:hint="eastAsia"/>
                <w:bCs/>
                <w:kern w:val="0"/>
                <w:sz w:val="18"/>
                <w:szCs w:val="18"/>
              </w:rPr>
            </w:pPr>
            <w:r>
              <w:rPr>
                <w:rFonts w:ascii="微软雅黑" w:eastAsia="微软雅黑" w:hAnsi="微软雅黑" w:cs="宋体" w:hint="eastAsia"/>
                <w:color w:val="000000"/>
                <w:kern w:val="0"/>
                <w:sz w:val="18"/>
                <w:szCs w:val="18"/>
              </w:rPr>
              <w:t>《教师教学</w:t>
            </w:r>
            <w:r>
              <w:rPr>
                <w:rFonts w:ascii="微软雅黑" w:eastAsia="微软雅黑" w:hAnsi="微软雅黑" w:cs="宋体"/>
                <w:color w:val="000000"/>
                <w:kern w:val="0"/>
                <w:sz w:val="18"/>
                <w:szCs w:val="18"/>
              </w:rPr>
              <w:t>与</w:t>
            </w:r>
            <w:r>
              <w:rPr>
                <w:rFonts w:ascii="微软雅黑" w:eastAsia="微软雅黑" w:hAnsi="微软雅黑" w:cs="宋体" w:hint="eastAsia"/>
                <w:color w:val="000000"/>
                <w:kern w:val="0"/>
                <w:sz w:val="18"/>
                <w:szCs w:val="18"/>
              </w:rPr>
              <w:t>发展评价</w:t>
            </w:r>
            <w:r>
              <w:rPr>
                <w:rFonts w:ascii="微软雅黑" w:eastAsia="微软雅黑" w:hAnsi="微软雅黑" w:cs="宋体"/>
                <w:color w:val="000000"/>
                <w:kern w:val="0"/>
                <w:sz w:val="18"/>
                <w:szCs w:val="18"/>
              </w:rPr>
              <w:t>报告</w:t>
            </w:r>
            <w:r>
              <w:rPr>
                <w:rFonts w:ascii="微软雅黑" w:eastAsia="微软雅黑" w:hAnsi="微软雅黑" w:cs="宋体" w:hint="eastAsia"/>
                <w:color w:val="000000"/>
                <w:kern w:val="0"/>
                <w:sz w:val="18"/>
                <w:szCs w:val="18"/>
              </w:rPr>
              <w:t>》</w:t>
            </w:r>
          </w:p>
        </w:tc>
        <w:tc>
          <w:tcPr>
            <w:tcW w:w="992" w:type="dxa"/>
            <w:noWrap/>
            <w:vAlign w:val="center"/>
          </w:tcPr>
          <w:p w14:paraId="68477F62" w14:textId="77777777" w:rsidR="00B646BF" w:rsidRDefault="00000000">
            <w:pPr>
              <w:widowControl/>
              <w:jc w:val="center"/>
              <w:rPr>
                <w:rFonts w:ascii="微软雅黑" w:eastAsia="微软雅黑" w:hAnsi="微软雅黑" w:cs="宋体" w:hint="eastAsia"/>
                <w:color w:val="000000"/>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19EEB68F" w14:textId="77777777" w:rsidR="00B646BF" w:rsidRDefault="00000000">
            <w:pPr>
              <w:widowControl/>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每年一份</w:t>
            </w:r>
          </w:p>
        </w:tc>
      </w:tr>
      <w:tr w:rsidR="00B646BF" w14:paraId="7A121C62" w14:textId="77777777">
        <w:trPr>
          <w:trHeight w:val="330"/>
          <w:jc w:val="center"/>
        </w:trPr>
        <w:tc>
          <w:tcPr>
            <w:tcW w:w="1101" w:type="dxa"/>
            <w:vMerge/>
            <w:vAlign w:val="center"/>
          </w:tcPr>
          <w:p w14:paraId="6BFA35D5" w14:textId="77777777" w:rsidR="00B646BF" w:rsidRDefault="00B646BF">
            <w:pPr>
              <w:jc w:val="center"/>
              <w:rPr>
                <w:rFonts w:ascii="微软雅黑" w:eastAsia="微软雅黑" w:hAnsi="微软雅黑" w:cs="宋体" w:hint="eastAsia"/>
                <w:b/>
                <w:bCs/>
                <w:color w:val="000000"/>
                <w:kern w:val="0"/>
                <w:sz w:val="18"/>
                <w:szCs w:val="18"/>
              </w:rPr>
            </w:pPr>
          </w:p>
        </w:tc>
        <w:tc>
          <w:tcPr>
            <w:tcW w:w="1417" w:type="dxa"/>
            <w:vMerge/>
            <w:vAlign w:val="center"/>
          </w:tcPr>
          <w:p w14:paraId="78F02D2D" w14:textId="77777777" w:rsidR="00B646BF" w:rsidRDefault="00B646BF">
            <w:pPr>
              <w:jc w:val="center"/>
              <w:rPr>
                <w:rFonts w:ascii="微软雅黑" w:eastAsia="微软雅黑" w:hAnsi="微软雅黑" w:cs="宋体" w:hint="eastAsia"/>
                <w:b/>
                <w:bCs/>
                <w:kern w:val="0"/>
                <w:sz w:val="18"/>
                <w:szCs w:val="18"/>
              </w:rPr>
            </w:pPr>
          </w:p>
        </w:tc>
        <w:tc>
          <w:tcPr>
            <w:tcW w:w="3402" w:type="dxa"/>
            <w:noWrap/>
            <w:vAlign w:val="center"/>
          </w:tcPr>
          <w:p w14:paraId="310220D8" w14:textId="77777777" w:rsidR="00B646BF" w:rsidRDefault="00000000">
            <w:pPr>
              <w:widowControl/>
              <w:jc w:val="left"/>
              <w:rPr>
                <w:rFonts w:ascii="微软雅黑" w:eastAsia="微软雅黑" w:hAnsi="微软雅黑" w:cs="宋体" w:hint="eastAsia"/>
                <w:color w:val="000000"/>
                <w:kern w:val="0"/>
                <w:sz w:val="18"/>
                <w:szCs w:val="18"/>
              </w:rPr>
            </w:pPr>
            <w:r>
              <w:rPr>
                <w:rFonts w:ascii="微软雅黑" w:eastAsia="微软雅黑" w:hAnsi="微软雅黑" w:cs="宋体" w:hint="eastAsia"/>
                <w:bCs/>
                <w:kern w:val="0"/>
                <w:sz w:val="18"/>
                <w:szCs w:val="18"/>
              </w:rPr>
              <w:t>《应届毕业生培养质量评价报告》</w:t>
            </w:r>
          </w:p>
        </w:tc>
        <w:tc>
          <w:tcPr>
            <w:tcW w:w="992" w:type="dxa"/>
            <w:noWrap/>
            <w:vAlign w:val="center"/>
          </w:tcPr>
          <w:p w14:paraId="39B2BDEF" w14:textId="77777777" w:rsidR="00B646BF" w:rsidRDefault="00000000">
            <w:pPr>
              <w:widowControl/>
              <w:jc w:val="center"/>
              <w:rPr>
                <w:rFonts w:ascii="微软雅黑" w:eastAsia="微软雅黑" w:hAnsi="微软雅黑" w:cs="宋体" w:hint="eastAsia"/>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192D4DE5" w14:textId="77777777" w:rsidR="00B646BF" w:rsidRDefault="00000000">
            <w:pPr>
              <w:jc w:val="center"/>
              <w:rPr>
                <w:rFonts w:ascii="微软雅黑" w:eastAsia="微软雅黑" w:hAnsi="微软雅黑" w:cs="宋体" w:hint="eastAsia"/>
                <w:bCs/>
                <w:kern w:val="0"/>
                <w:sz w:val="18"/>
                <w:szCs w:val="18"/>
              </w:rPr>
            </w:pPr>
            <w:r>
              <w:rPr>
                <w:rFonts w:ascii="微软雅黑" w:eastAsia="微软雅黑" w:hAnsi="微软雅黑" w:cs="宋体" w:hint="eastAsia"/>
                <w:color w:val="000000"/>
                <w:kern w:val="0"/>
                <w:sz w:val="18"/>
                <w:szCs w:val="18"/>
              </w:rPr>
              <w:t>每年一份</w:t>
            </w:r>
          </w:p>
        </w:tc>
      </w:tr>
      <w:tr w:rsidR="00B646BF" w14:paraId="62C27D45" w14:textId="77777777">
        <w:trPr>
          <w:trHeight w:val="330"/>
          <w:jc w:val="center"/>
        </w:trPr>
        <w:tc>
          <w:tcPr>
            <w:tcW w:w="1101" w:type="dxa"/>
            <w:vMerge/>
            <w:vAlign w:val="center"/>
          </w:tcPr>
          <w:p w14:paraId="23D7E5C5" w14:textId="77777777" w:rsidR="00B646BF" w:rsidRDefault="00B646BF">
            <w:pPr>
              <w:jc w:val="center"/>
              <w:rPr>
                <w:rFonts w:ascii="微软雅黑" w:eastAsia="微软雅黑" w:hAnsi="微软雅黑" w:cs="宋体" w:hint="eastAsia"/>
                <w:b/>
                <w:bCs/>
                <w:color w:val="000000"/>
                <w:kern w:val="0"/>
                <w:sz w:val="18"/>
                <w:szCs w:val="18"/>
              </w:rPr>
            </w:pPr>
          </w:p>
        </w:tc>
        <w:tc>
          <w:tcPr>
            <w:tcW w:w="1417" w:type="dxa"/>
            <w:vMerge/>
            <w:vAlign w:val="center"/>
          </w:tcPr>
          <w:p w14:paraId="2C968E4F" w14:textId="77777777" w:rsidR="00B646BF" w:rsidRDefault="00B646BF">
            <w:pPr>
              <w:jc w:val="center"/>
              <w:rPr>
                <w:rFonts w:ascii="微软雅黑" w:eastAsia="微软雅黑" w:hAnsi="微软雅黑" w:cs="宋体" w:hint="eastAsia"/>
                <w:b/>
                <w:bCs/>
                <w:kern w:val="0"/>
                <w:sz w:val="18"/>
                <w:szCs w:val="18"/>
              </w:rPr>
            </w:pPr>
          </w:p>
        </w:tc>
        <w:tc>
          <w:tcPr>
            <w:tcW w:w="3402" w:type="dxa"/>
            <w:noWrap/>
            <w:vAlign w:val="center"/>
          </w:tcPr>
          <w:p w14:paraId="26DE3B13" w14:textId="77777777" w:rsidR="00B646BF" w:rsidRDefault="00000000">
            <w:pPr>
              <w:widowControl/>
              <w:jc w:val="left"/>
              <w:rPr>
                <w:rFonts w:ascii="微软雅黑" w:eastAsia="微软雅黑" w:hAnsi="微软雅黑" w:cs="宋体" w:hint="eastAsia"/>
                <w:bCs/>
                <w:kern w:val="0"/>
                <w:sz w:val="18"/>
                <w:szCs w:val="18"/>
              </w:rPr>
            </w:pPr>
            <w:r>
              <w:rPr>
                <w:rFonts w:ascii="微软雅黑" w:eastAsia="微软雅黑" w:hAnsi="微软雅黑" w:cs="宋体" w:hint="eastAsia"/>
                <w:bCs/>
                <w:kern w:val="0"/>
                <w:sz w:val="18"/>
                <w:szCs w:val="18"/>
              </w:rPr>
              <w:t>《中长期发展与培养达成评价报告》</w:t>
            </w:r>
          </w:p>
        </w:tc>
        <w:tc>
          <w:tcPr>
            <w:tcW w:w="992" w:type="dxa"/>
            <w:noWrap/>
            <w:vAlign w:val="center"/>
          </w:tcPr>
          <w:p w14:paraId="368D2198"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5F4E87F4" w14:textId="77777777" w:rsidR="00B646BF" w:rsidRDefault="00000000">
            <w:pPr>
              <w:jc w:val="center"/>
              <w:rPr>
                <w:rFonts w:ascii="微软雅黑" w:eastAsia="微软雅黑" w:hAnsi="微软雅黑" w:cs="宋体" w:hint="eastAsia"/>
                <w:bCs/>
                <w:kern w:val="0"/>
                <w:sz w:val="18"/>
                <w:szCs w:val="18"/>
              </w:rPr>
            </w:pPr>
            <w:r>
              <w:rPr>
                <w:rFonts w:ascii="微软雅黑" w:eastAsia="微软雅黑" w:hAnsi="微软雅黑" w:cs="宋体" w:hint="eastAsia"/>
                <w:color w:val="000000"/>
                <w:kern w:val="0"/>
                <w:sz w:val="18"/>
                <w:szCs w:val="18"/>
              </w:rPr>
              <w:t>每年一份</w:t>
            </w:r>
          </w:p>
        </w:tc>
      </w:tr>
      <w:tr w:rsidR="00B646BF" w14:paraId="5D998152" w14:textId="77777777">
        <w:trPr>
          <w:trHeight w:val="330"/>
          <w:jc w:val="center"/>
        </w:trPr>
        <w:tc>
          <w:tcPr>
            <w:tcW w:w="1101" w:type="dxa"/>
            <w:vMerge/>
            <w:vAlign w:val="center"/>
          </w:tcPr>
          <w:p w14:paraId="5A4CB3E7" w14:textId="77777777" w:rsidR="00B646BF" w:rsidRDefault="00B646BF">
            <w:pPr>
              <w:jc w:val="center"/>
              <w:rPr>
                <w:rFonts w:ascii="微软雅黑" w:eastAsia="微软雅黑" w:hAnsi="微软雅黑" w:cs="宋体" w:hint="eastAsia"/>
                <w:b/>
                <w:bCs/>
                <w:color w:val="000000"/>
                <w:kern w:val="0"/>
                <w:sz w:val="18"/>
                <w:szCs w:val="18"/>
              </w:rPr>
            </w:pPr>
          </w:p>
        </w:tc>
        <w:tc>
          <w:tcPr>
            <w:tcW w:w="1417" w:type="dxa"/>
            <w:vMerge/>
            <w:vAlign w:val="center"/>
          </w:tcPr>
          <w:p w14:paraId="4B9E9E14" w14:textId="77777777" w:rsidR="00B646BF" w:rsidRDefault="00B646BF">
            <w:pPr>
              <w:jc w:val="center"/>
              <w:rPr>
                <w:rFonts w:ascii="微软雅黑" w:eastAsia="微软雅黑" w:hAnsi="微软雅黑" w:cs="宋体" w:hint="eastAsia"/>
                <w:b/>
                <w:bCs/>
                <w:kern w:val="0"/>
                <w:sz w:val="18"/>
                <w:szCs w:val="18"/>
              </w:rPr>
            </w:pPr>
          </w:p>
        </w:tc>
        <w:tc>
          <w:tcPr>
            <w:tcW w:w="3402" w:type="dxa"/>
            <w:noWrap/>
            <w:vAlign w:val="center"/>
          </w:tcPr>
          <w:p w14:paraId="1F233418" w14:textId="77777777" w:rsidR="00B646BF" w:rsidRDefault="00000000">
            <w:pPr>
              <w:widowControl/>
              <w:jc w:val="left"/>
              <w:rPr>
                <w:rFonts w:ascii="微软雅黑" w:eastAsia="微软雅黑" w:hAnsi="微软雅黑" w:cs="宋体" w:hint="eastAsia"/>
                <w:bCs/>
                <w:kern w:val="0"/>
                <w:sz w:val="18"/>
                <w:szCs w:val="18"/>
              </w:rPr>
            </w:pPr>
            <w:r>
              <w:rPr>
                <w:rFonts w:ascii="微软雅黑" w:eastAsia="微软雅黑" w:hAnsi="微软雅黑" w:cs="宋体" w:hint="eastAsia"/>
                <w:bCs/>
                <w:kern w:val="0"/>
                <w:sz w:val="18"/>
                <w:szCs w:val="18"/>
              </w:rPr>
              <w:t>《用人单位评价报告》</w:t>
            </w:r>
          </w:p>
        </w:tc>
        <w:tc>
          <w:tcPr>
            <w:tcW w:w="992" w:type="dxa"/>
            <w:noWrap/>
            <w:vAlign w:val="center"/>
          </w:tcPr>
          <w:p w14:paraId="2492337E" w14:textId="77777777" w:rsidR="00B646BF" w:rsidRDefault="00000000">
            <w:pPr>
              <w:widowControl/>
              <w:jc w:val="center"/>
              <w:rPr>
                <w:rFonts w:ascii="Calibri" w:eastAsia="微软雅黑" w:hAnsi="Calibri" w:cs="宋体"/>
                <w:color w:val="000000"/>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17CE3A26" w14:textId="77777777" w:rsidR="00B646BF" w:rsidRDefault="00000000">
            <w:pPr>
              <w:jc w:val="center"/>
              <w:rPr>
                <w:rFonts w:ascii="微软雅黑" w:eastAsia="微软雅黑" w:hAnsi="微软雅黑" w:cs="宋体" w:hint="eastAsia"/>
                <w:color w:val="000000"/>
                <w:kern w:val="0"/>
                <w:sz w:val="18"/>
                <w:szCs w:val="18"/>
              </w:rPr>
            </w:pPr>
            <w:r>
              <w:rPr>
                <w:rFonts w:ascii="微软雅黑" w:eastAsia="微软雅黑" w:hAnsi="微软雅黑" w:cs="宋体" w:hint="eastAsia"/>
                <w:color w:val="000000"/>
                <w:kern w:val="0"/>
                <w:sz w:val="18"/>
                <w:szCs w:val="18"/>
              </w:rPr>
              <w:t>每年一份</w:t>
            </w:r>
          </w:p>
        </w:tc>
      </w:tr>
      <w:tr w:rsidR="005C0E32" w14:paraId="5C075254" w14:textId="77777777">
        <w:trPr>
          <w:trHeight w:val="330"/>
          <w:jc w:val="center"/>
        </w:trPr>
        <w:tc>
          <w:tcPr>
            <w:tcW w:w="1101" w:type="dxa"/>
            <w:vMerge/>
            <w:vAlign w:val="center"/>
          </w:tcPr>
          <w:p w14:paraId="4979C828" w14:textId="77777777" w:rsidR="005C0E32" w:rsidRDefault="005C0E32" w:rsidP="005C0E32">
            <w:pPr>
              <w:jc w:val="center"/>
              <w:rPr>
                <w:rFonts w:ascii="微软雅黑" w:eastAsia="微软雅黑" w:hAnsi="微软雅黑" w:cs="宋体" w:hint="eastAsia"/>
                <w:b/>
                <w:bCs/>
                <w:color w:val="000000"/>
                <w:kern w:val="0"/>
                <w:sz w:val="18"/>
                <w:szCs w:val="18"/>
              </w:rPr>
            </w:pPr>
          </w:p>
        </w:tc>
        <w:tc>
          <w:tcPr>
            <w:tcW w:w="1417" w:type="dxa"/>
            <w:vMerge/>
            <w:vAlign w:val="center"/>
          </w:tcPr>
          <w:p w14:paraId="600094AD" w14:textId="77777777" w:rsidR="005C0E32" w:rsidRDefault="005C0E32" w:rsidP="005C0E32">
            <w:pPr>
              <w:widowControl/>
              <w:jc w:val="center"/>
              <w:rPr>
                <w:rFonts w:ascii="微软雅黑" w:eastAsia="微软雅黑" w:hAnsi="微软雅黑" w:cs="宋体" w:hint="eastAsia"/>
                <w:b/>
                <w:bCs/>
                <w:kern w:val="0"/>
                <w:sz w:val="18"/>
                <w:szCs w:val="18"/>
              </w:rPr>
            </w:pPr>
          </w:p>
        </w:tc>
        <w:tc>
          <w:tcPr>
            <w:tcW w:w="3402" w:type="dxa"/>
            <w:noWrap/>
            <w:vAlign w:val="center"/>
          </w:tcPr>
          <w:p w14:paraId="11548B24" w14:textId="7F7CC311" w:rsidR="005C0E32" w:rsidRDefault="005C0E32" w:rsidP="005C0E32">
            <w:pPr>
              <w:widowControl/>
              <w:jc w:val="left"/>
              <w:rPr>
                <w:rFonts w:ascii="微软雅黑" w:eastAsia="微软雅黑" w:hAnsi="微软雅黑" w:cs="宋体" w:hint="eastAsia"/>
                <w:b/>
                <w:bCs/>
                <w:kern w:val="0"/>
                <w:sz w:val="18"/>
                <w:szCs w:val="18"/>
              </w:rPr>
            </w:pPr>
            <w:r w:rsidRPr="00752884">
              <w:rPr>
                <w:rFonts w:ascii="微软雅黑" w:eastAsia="微软雅黑" w:hAnsi="微软雅黑" w:cs="宋体" w:hint="eastAsia"/>
                <w:bCs/>
                <w:kern w:val="0"/>
                <w:sz w:val="18"/>
                <w:szCs w:val="18"/>
              </w:rPr>
              <w:t>学院</w:t>
            </w:r>
            <w:r>
              <w:rPr>
                <w:rFonts w:ascii="微软雅黑" w:eastAsia="微软雅黑" w:hAnsi="微软雅黑" w:cs="宋体" w:hint="eastAsia"/>
                <w:bCs/>
                <w:kern w:val="0"/>
                <w:sz w:val="18"/>
                <w:szCs w:val="18"/>
              </w:rPr>
              <w:t>报告</w:t>
            </w:r>
            <w:r w:rsidRPr="0004025C">
              <w:rPr>
                <w:rFonts w:ascii="微软雅黑" w:eastAsia="微软雅黑" w:hAnsi="微软雅黑" w:cs="宋体" w:hint="eastAsia"/>
                <w:bCs/>
                <w:color w:val="0070C0"/>
                <w:kern w:val="0"/>
                <w:sz w:val="18"/>
                <w:szCs w:val="18"/>
              </w:rPr>
              <w:t>（</w:t>
            </w:r>
            <w:r w:rsidRPr="0004025C">
              <w:rPr>
                <w:rFonts w:ascii="微软雅黑" w:eastAsia="微软雅黑" w:hAnsi="微软雅黑" w:cs="宋体" w:hint="eastAsia"/>
                <w:color w:val="0070C0"/>
                <w:kern w:val="0"/>
                <w:sz w:val="18"/>
                <w:szCs w:val="18"/>
              </w:rPr>
              <w:t>依据学校实际选择/购买提供</w:t>
            </w:r>
            <w:r w:rsidRPr="0004025C">
              <w:rPr>
                <w:rFonts w:ascii="微软雅黑" w:eastAsia="微软雅黑" w:hAnsi="微软雅黑" w:cs="宋体" w:hint="eastAsia"/>
                <w:bCs/>
                <w:color w:val="0070C0"/>
                <w:kern w:val="0"/>
                <w:sz w:val="18"/>
                <w:szCs w:val="18"/>
              </w:rPr>
              <w:t>）</w:t>
            </w:r>
          </w:p>
        </w:tc>
        <w:tc>
          <w:tcPr>
            <w:tcW w:w="992" w:type="dxa"/>
            <w:noWrap/>
            <w:vAlign w:val="center"/>
          </w:tcPr>
          <w:p w14:paraId="736A92D5" w14:textId="77777777" w:rsidR="005C0E32" w:rsidRDefault="005C0E32" w:rsidP="005C0E32">
            <w:pPr>
              <w:widowControl/>
              <w:jc w:val="center"/>
              <w:rPr>
                <w:rFonts w:eastAsia="微软雅黑" w:cs="宋体"/>
                <w:b/>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5A8FDC67" w14:textId="77777777" w:rsidR="005C0E32" w:rsidRDefault="005C0E32" w:rsidP="005C0E32">
            <w:pPr>
              <w:widowControl/>
              <w:jc w:val="center"/>
              <w:rPr>
                <w:rFonts w:ascii="微软雅黑" w:eastAsia="微软雅黑" w:hAnsi="微软雅黑" w:cs="宋体" w:hint="eastAsia"/>
                <w:kern w:val="0"/>
                <w:sz w:val="18"/>
                <w:szCs w:val="18"/>
              </w:rPr>
            </w:pPr>
            <w:r>
              <w:rPr>
                <w:rFonts w:ascii="微软雅黑" w:eastAsia="微软雅黑" w:hAnsi="微软雅黑" w:cs="宋体" w:hint="eastAsia"/>
                <w:color w:val="000000"/>
                <w:kern w:val="0"/>
                <w:sz w:val="18"/>
                <w:szCs w:val="18"/>
              </w:rPr>
              <w:t>每年一份</w:t>
            </w:r>
          </w:p>
        </w:tc>
      </w:tr>
      <w:tr w:rsidR="005C0E32" w14:paraId="3C5A2770" w14:textId="77777777">
        <w:trPr>
          <w:trHeight w:val="330"/>
          <w:jc w:val="center"/>
        </w:trPr>
        <w:tc>
          <w:tcPr>
            <w:tcW w:w="1101" w:type="dxa"/>
            <w:vMerge/>
            <w:vAlign w:val="center"/>
          </w:tcPr>
          <w:p w14:paraId="75F343E1" w14:textId="77777777" w:rsidR="005C0E32" w:rsidRDefault="005C0E32" w:rsidP="005C0E32">
            <w:pPr>
              <w:jc w:val="center"/>
              <w:rPr>
                <w:rFonts w:ascii="微软雅黑" w:eastAsia="微软雅黑" w:hAnsi="微软雅黑" w:cs="宋体" w:hint="eastAsia"/>
                <w:b/>
                <w:bCs/>
                <w:color w:val="000000"/>
                <w:kern w:val="0"/>
                <w:sz w:val="18"/>
                <w:szCs w:val="18"/>
              </w:rPr>
            </w:pPr>
          </w:p>
        </w:tc>
        <w:tc>
          <w:tcPr>
            <w:tcW w:w="1417" w:type="dxa"/>
            <w:vMerge/>
            <w:vAlign w:val="center"/>
          </w:tcPr>
          <w:p w14:paraId="108013D0" w14:textId="77777777" w:rsidR="005C0E32" w:rsidRDefault="005C0E32" w:rsidP="005C0E32">
            <w:pPr>
              <w:widowControl/>
              <w:jc w:val="center"/>
              <w:rPr>
                <w:rFonts w:ascii="微软雅黑" w:eastAsia="微软雅黑" w:hAnsi="微软雅黑" w:cs="宋体" w:hint="eastAsia"/>
                <w:b/>
                <w:bCs/>
                <w:kern w:val="0"/>
                <w:sz w:val="18"/>
                <w:szCs w:val="18"/>
              </w:rPr>
            </w:pPr>
          </w:p>
        </w:tc>
        <w:tc>
          <w:tcPr>
            <w:tcW w:w="3402" w:type="dxa"/>
            <w:noWrap/>
            <w:vAlign w:val="center"/>
          </w:tcPr>
          <w:p w14:paraId="1C84DCD2" w14:textId="6E366BD9" w:rsidR="005C0E32" w:rsidRDefault="005C0E32" w:rsidP="005C0E32">
            <w:pPr>
              <w:widowControl/>
              <w:jc w:val="left"/>
              <w:rPr>
                <w:rFonts w:ascii="微软雅黑" w:eastAsia="微软雅黑" w:hAnsi="微软雅黑" w:cs="宋体" w:hint="eastAsia"/>
                <w:b/>
                <w:bCs/>
                <w:kern w:val="0"/>
                <w:sz w:val="18"/>
                <w:szCs w:val="18"/>
              </w:rPr>
            </w:pPr>
            <w:r w:rsidRPr="00752884">
              <w:rPr>
                <w:rFonts w:ascii="微软雅黑" w:eastAsia="微软雅黑" w:hAnsi="微软雅黑" w:cs="宋体" w:hint="eastAsia"/>
                <w:bCs/>
                <w:kern w:val="0"/>
                <w:sz w:val="18"/>
                <w:szCs w:val="18"/>
              </w:rPr>
              <w:t>专业报告</w:t>
            </w:r>
            <w:r w:rsidRPr="0004025C">
              <w:rPr>
                <w:rFonts w:ascii="微软雅黑" w:eastAsia="微软雅黑" w:hAnsi="微软雅黑" w:cs="宋体" w:hint="eastAsia"/>
                <w:bCs/>
                <w:color w:val="0070C0"/>
                <w:kern w:val="0"/>
                <w:sz w:val="18"/>
                <w:szCs w:val="18"/>
              </w:rPr>
              <w:t>（</w:t>
            </w:r>
            <w:r w:rsidRPr="0004025C">
              <w:rPr>
                <w:rFonts w:ascii="微软雅黑" w:eastAsia="微软雅黑" w:hAnsi="微软雅黑" w:cs="宋体" w:hint="eastAsia"/>
                <w:color w:val="0070C0"/>
                <w:kern w:val="0"/>
                <w:sz w:val="18"/>
                <w:szCs w:val="18"/>
              </w:rPr>
              <w:t>依据学校实际购买提供</w:t>
            </w:r>
            <w:r w:rsidRPr="0004025C">
              <w:rPr>
                <w:rFonts w:ascii="微软雅黑" w:eastAsia="微软雅黑" w:hAnsi="微软雅黑" w:cs="宋体" w:hint="eastAsia"/>
                <w:bCs/>
                <w:color w:val="0070C0"/>
                <w:kern w:val="0"/>
                <w:sz w:val="18"/>
                <w:szCs w:val="18"/>
              </w:rPr>
              <w:t>）</w:t>
            </w:r>
          </w:p>
        </w:tc>
        <w:tc>
          <w:tcPr>
            <w:tcW w:w="992" w:type="dxa"/>
            <w:noWrap/>
            <w:vAlign w:val="center"/>
          </w:tcPr>
          <w:p w14:paraId="301817FE" w14:textId="77777777" w:rsidR="005C0E32" w:rsidRDefault="005C0E32" w:rsidP="005C0E32">
            <w:pPr>
              <w:widowControl/>
              <w:jc w:val="center"/>
              <w:rPr>
                <w:rFonts w:eastAsia="微软雅黑" w:cs="宋体"/>
                <w:b/>
                <w:kern w:val="0"/>
                <w:sz w:val="18"/>
                <w:szCs w:val="18"/>
              </w:rPr>
            </w:pPr>
            <w:r>
              <w:rPr>
                <w:rFonts w:ascii="Calibri" w:eastAsia="微软雅黑" w:hAnsi="Calibri" w:cs="宋体" w:hint="eastAsia"/>
                <w:color w:val="000000"/>
                <w:kern w:val="0"/>
                <w:sz w:val="18"/>
                <w:szCs w:val="18"/>
              </w:rPr>
              <w:t>30</w:t>
            </w:r>
            <w:r>
              <w:rPr>
                <w:rFonts w:ascii="Calibri" w:eastAsia="微软雅黑" w:hAnsi="Calibri" w:cs="宋体" w:hint="eastAsia"/>
                <w:color w:val="000000"/>
                <w:kern w:val="0"/>
                <w:sz w:val="18"/>
                <w:szCs w:val="18"/>
              </w:rPr>
              <w:t>天</w:t>
            </w:r>
          </w:p>
        </w:tc>
        <w:tc>
          <w:tcPr>
            <w:tcW w:w="1560" w:type="dxa"/>
            <w:vAlign w:val="center"/>
          </w:tcPr>
          <w:p w14:paraId="275D2B7D" w14:textId="77777777" w:rsidR="005C0E32" w:rsidRDefault="005C0E32" w:rsidP="005C0E32">
            <w:pPr>
              <w:widowControl/>
              <w:jc w:val="center"/>
              <w:rPr>
                <w:rFonts w:ascii="微软雅黑" w:eastAsia="微软雅黑" w:hAnsi="微软雅黑" w:cs="宋体" w:hint="eastAsia"/>
                <w:kern w:val="0"/>
                <w:sz w:val="18"/>
                <w:szCs w:val="18"/>
              </w:rPr>
            </w:pPr>
            <w:r>
              <w:rPr>
                <w:rFonts w:ascii="微软雅黑" w:eastAsia="微软雅黑" w:hAnsi="微软雅黑" w:cs="宋体" w:hint="eastAsia"/>
                <w:color w:val="000000"/>
                <w:kern w:val="0"/>
                <w:sz w:val="18"/>
                <w:szCs w:val="18"/>
              </w:rPr>
              <w:t>每年一份</w:t>
            </w:r>
          </w:p>
        </w:tc>
      </w:tr>
      <w:tr w:rsidR="00B646BF" w14:paraId="4601A2D8" w14:textId="77777777">
        <w:trPr>
          <w:trHeight w:val="330"/>
          <w:jc w:val="center"/>
        </w:trPr>
        <w:tc>
          <w:tcPr>
            <w:tcW w:w="1101" w:type="dxa"/>
            <w:vMerge/>
            <w:vAlign w:val="center"/>
          </w:tcPr>
          <w:p w14:paraId="6503057F" w14:textId="77777777" w:rsidR="00B646BF" w:rsidRDefault="00B646BF">
            <w:pPr>
              <w:jc w:val="center"/>
              <w:rPr>
                <w:rFonts w:ascii="微软雅黑" w:eastAsia="微软雅黑" w:hAnsi="微软雅黑" w:cs="宋体" w:hint="eastAsia"/>
                <w:b/>
                <w:bCs/>
                <w:color w:val="000000"/>
                <w:kern w:val="0"/>
                <w:sz w:val="18"/>
                <w:szCs w:val="18"/>
              </w:rPr>
            </w:pPr>
          </w:p>
        </w:tc>
        <w:tc>
          <w:tcPr>
            <w:tcW w:w="1417" w:type="dxa"/>
            <w:vMerge/>
            <w:vAlign w:val="center"/>
          </w:tcPr>
          <w:p w14:paraId="3FF6C9C1" w14:textId="77777777" w:rsidR="00B646BF" w:rsidRDefault="00B646BF">
            <w:pPr>
              <w:widowControl/>
              <w:jc w:val="center"/>
              <w:rPr>
                <w:rFonts w:ascii="微软雅黑" w:eastAsia="微软雅黑" w:hAnsi="微软雅黑" w:cs="宋体" w:hint="eastAsia"/>
                <w:b/>
                <w:bCs/>
                <w:kern w:val="0"/>
                <w:sz w:val="18"/>
                <w:szCs w:val="18"/>
              </w:rPr>
            </w:pPr>
          </w:p>
        </w:tc>
        <w:tc>
          <w:tcPr>
            <w:tcW w:w="3402" w:type="dxa"/>
            <w:noWrap/>
            <w:vAlign w:val="center"/>
          </w:tcPr>
          <w:p w14:paraId="79A6CB2D" w14:textId="77777777" w:rsidR="00B646BF" w:rsidRDefault="00000000">
            <w:pPr>
              <w:widowControl/>
              <w:jc w:val="left"/>
              <w:rPr>
                <w:rFonts w:ascii="微软雅黑" w:eastAsia="微软雅黑" w:hAnsi="微软雅黑" w:cs="宋体" w:hint="eastAsia"/>
                <w:b/>
                <w:bCs/>
                <w:kern w:val="0"/>
                <w:sz w:val="18"/>
                <w:szCs w:val="18"/>
              </w:rPr>
            </w:pPr>
            <w:r>
              <w:rPr>
                <w:rFonts w:ascii="微软雅黑" w:eastAsia="微软雅黑" w:hAnsi="微软雅黑" w:cs="宋体" w:hint="eastAsia"/>
                <w:b/>
                <w:bCs/>
                <w:kern w:val="0"/>
                <w:sz w:val="18"/>
                <w:szCs w:val="18"/>
              </w:rPr>
              <w:t>时间小计</w:t>
            </w:r>
          </w:p>
        </w:tc>
        <w:tc>
          <w:tcPr>
            <w:tcW w:w="992" w:type="dxa"/>
            <w:noWrap/>
            <w:vAlign w:val="center"/>
          </w:tcPr>
          <w:p w14:paraId="0ECD63EE" w14:textId="77777777" w:rsidR="00B646BF" w:rsidRDefault="00000000">
            <w:pPr>
              <w:widowControl/>
              <w:jc w:val="center"/>
              <w:rPr>
                <w:rFonts w:eastAsia="微软雅黑" w:cs="宋体"/>
                <w:b/>
                <w:kern w:val="0"/>
                <w:sz w:val="18"/>
                <w:szCs w:val="18"/>
              </w:rPr>
            </w:pPr>
            <w:r>
              <w:rPr>
                <w:rFonts w:eastAsia="微软雅黑" w:cs="宋体"/>
                <w:b/>
                <w:kern w:val="0"/>
                <w:sz w:val="18"/>
                <w:szCs w:val="18"/>
              </w:rPr>
              <w:t>45</w:t>
            </w:r>
            <w:r>
              <w:rPr>
                <w:rFonts w:eastAsia="微软雅黑" w:cs="宋体"/>
                <w:b/>
                <w:kern w:val="0"/>
                <w:sz w:val="18"/>
                <w:szCs w:val="18"/>
              </w:rPr>
              <w:t>天</w:t>
            </w:r>
          </w:p>
        </w:tc>
        <w:tc>
          <w:tcPr>
            <w:tcW w:w="1560" w:type="dxa"/>
            <w:vAlign w:val="center"/>
          </w:tcPr>
          <w:p w14:paraId="787F4832" w14:textId="77777777" w:rsidR="00B646BF" w:rsidRDefault="00B646BF">
            <w:pPr>
              <w:widowControl/>
              <w:jc w:val="center"/>
              <w:rPr>
                <w:rFonts w:ascii="微软雅黑" w:eastAsia="微软雅黑" w:hAnsi="微软雅黑" w:cs="宋体" w:hint="eastAsia"/>
                <w:kern w:val="0"/>
                <w:sz w:val="18"/>
                <w:szCs w:val="18"/>
              </w:rPr>
            </w:pPr>
          </w:p>
        </w:tc>
      </w:tr>
      <w:bookmarkEnd w:id="40"/>
    </w:tbl>
    <w:p w14:paraId="3C2821D1" w14:textId="77777777" w:rsidR="00B646BF" w:rsidRDefault="00B646BF"/>
    <w:sectPr w:rsidR="00B646B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FD53" w14:textId="77777777" w:rsidR="00474F2E" w:rsidRDefault="00474F2E">
      <w:r>
        <w:separator/>
      </w:r>
    </w:p>
  </w:endnote>
  <w:endnote w:type="continuationSeparator" w:id="0">
    <w:p w14:paraId="34FBF1F8" w14:textId="77777777" w:rsidR="00474F2E" w:rsidRDefault="0047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89128"/>
    </w:sdtPr>
    <w:sdtEndPr>
      <w:rPr>
        <w:sz w:val="21"/>
        <w:szCs w:val="22"/>
      </w:rPr>
    </w:sdtEndPr>
    <w:sdtContent>
      <w:p w14:paraId="3A7F7356" w14:textId="77777777" w:rsidR="00B646BF" w:rsidRDefault="00000000">
        <w:pPr>
          <w:tabs>
            <w:tab w:val="left" w:pos="1245"/>
          </w:tabs>
          <w:spacing w:line="300" w:lineRule="auto"/>
          <w:rPr>
            <w:rFonts w:ascii="Calibri" w:eastAsia="宋体" w:hAnsi="Calibri" w:cs="Times New Roman"/>
          </w:rPr>
        </w:pPr>
        <w:r>
          <w:rPr>
            <w:rFonts w:ascii="Calibri" w:eastAsia="宋体" w:hAnsi="Calibri" w:cs="Times New Roman"/>
            <w:noProof/>
          </w:rPr>
          <w:drawing>
            <wp:inline distT="0" distB="0" distL="0" distR="0" wp14:anchorId="18A744D9" wp14:editId="640906FB">
              <wp:extent cx="104775" cy="104775"/>
              <wp:effectExtent l="0" t="0" r="9525" b="9525"/>
              <wp:docPr id="1252449284" name="图片 1252449284" descr="说明: }`6[J[8H79~SGCJWRV84M8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49284" name="图片 1252449284" descr="说明: }`6[J[8H79~SGCJWRV84M8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775" cy="104775"/>
                      </a:xfrm>
                      <a:prstGeom prst="rect">
                        <a:avLst/>
                      </a:prstGeom>
                      <a:noFill/>
                      <a:ln>
                        <a:noFill/>
                      </a:ln>
                    </pic:spPr>
                  </pic:pic>
                </a:graphicData>
              </a:graphic>
            </wp:inline>
          </w:drawing>
        </w:r>
        <w:r>
          <w:rPr>
            <w:rFonts w:ascii="楷体" w:eastAsia="楷体" w:hAnsi="楷体" w:cs="Arial"/>
            <w:b/>
            <w:sz w:val="18"/>
            <w:szCs w:val="18"/>
          </w:rPr>
          <w:t>版权声明</w:t>
        </w:r>
        <w:r>
          <w:rPr>
            <w:rFonts w:ascii="楷体" w:eastAsia="楷体" w:hAnsi="楷体" w:cs="Arial"/>
            <w:b/>
            <w:sz w:val="18"/>
            <w:szCs w:val="18"/>
          </w:rPr>
          <w:tab/>
        </w:r>
      </w:p>
      <w:p w14:paraId="46786A75" w14:textId="77777777" w:rsidR="00B646BF" w:rsidRDefault="00000000">
        <w:pPr>
          <w:pBdr>
            <w:top w:val="single" w:sz="4" w:space="1" w:color="auto"/>
          </w:pBdr>
          <w:tabs>
            <w:tab w:val="center" w:pos="4153"/>
            <w:tab w:val="right" w:pos="8306"/>
          </w:tabs>
          <w:snapToGrid w:val="0"/>
          <w:spacing w:line="300" w:lineRule="auto"/>
          <w:jc w:val="left"/>
          <w:rPr>
            <w:rFonts w:ascii="楷体" w:eastAsia="楷体" w:hAnsi="楷体" w:cs="Arial" w:hint="eastAsia"/>
            <w:sz w:val="18"/>
            <w:szCs w:val="18"/>
          </w:rPr>
        </w:pPr>
        <w:r>
          <w:rPr>
            <w:rFonts w:ascii="楷体" w:eastAsia="楷体" w:hAnsi="楷体" w:cs="Arial"/>
            <w:sz w:val="18"/>
            <w:szCs w:val="18"/>
          </w:rPr>
          <w:t>麦可思公司</w:t>
        </w:r>
        <w:r>
          <w:rPr>
            <w:rFonts w:ascii="楷体" w:eastAsia="楷体" w:hAnsi="楷体" w:cs="宋体"/>
            <w:kern w:val="0"/>
            <w:sz w:val="18"/>
            <w:szCs w:val="18"/>
          </w:rPr>
          <w:t>拥有本方案的分析内容及</w:t>
        </w:r>
        <w:r>
          <w:rPr>
            <w:rFonts w:ascii="楷体" w:eastAsia="楷体" w:hAnsi="楷体" w:cs="宋体" w:hint="eastAsia"/>
            <w:kern w:val="0"/>
            <w:sz w:val="18"/>
            <w:szCs w:val="18"/>
          </w:rPr>
          <w:t>方案</w:t>
        </w:r>
        <w:r>
          <w:rPr>
            <w:rFonts w:ascii="楷体" w:eastAsia="楷体" w:hAnsi="楷体" w:cs="宋体"/>
            <w:kern w:val="0"/>
            <w:sz w:val="18"/>
            <w:szCs w:val="18"/>
          </w:rPr>
          <w:t>格式版权</w:t>
        </w:r>
        <w:r>
          <w:rPr>
            <w:rFonts w:ascii="楷体" w:eastAsia="楷体" w:hAnsi="楷体" w:cs="Arial"/>
            <w:sz w:val="18"/>
            <w:szCs w:val="18"/>
          </w:rPr>
          <w:t>。没有麦可思公司预先的书面同意，</w:t>
        </w:r>
        <w:r>
          <w:rPr>
            <w:rFonts w:ascii="楷体" w:eastAsia="楷体" w:hAnsi="楷体" w:cs="宋体"/>
            <w:kern w:val="0"/>
            <w:sz w:val="18"/>
            <w:szCs w:val="18"/>
          </w:rPr>
          <w:t>本</w:t>
        </w:r>
        <w:r>
          <w:rPr>
            <w:rFonts w:ascii="楷体" w:eastAsia="楷体" w:hAnsi="楷体" w:cs="宋体" w:hint="eastAsia"/>
            <w:kern w:val="0"/>
            <w:sz w:val="18"/>
            <w:szCs w:val="18"/>
          </w:rPr>
          <w:t>方案</w:t>
        </w:r>
        <w:r>
          <w:rPr>
            <w:rFonts w:ascii="楷体" w:eastAsia="楷体" w:hAnsi="楷体" w:cs="宋体"/>
            <w:kern w:val="0"/>
            <w:sz w:val="18"/>
            <w:szCs w:val="18"/>
          </w:rPr>
          <w:t>的分析内容及</w:t>
        </w:r>
        <w:r>
          <w:rPr>
            <w:rFonts w:ascii="楷体" w:eastAsia="楷体" w:hAnsi="楷体" w:cs="宋体" w:hint="eastAsia"/>
            <w:kern w:val="0"/>
            <w:sz w:val="18"/>
            <w:szCs w:val="18"/>
          </w:rPr>
          <w:t>方案</w:t>
        </w:r>
        <w:r>
          <w:rPr>
            <w:rFonts w:ascii="楷体" w:eastAsia="楷体" w:hAnsi="楷体" w:cs="宋体"/>
            <w:kern w:val="0"/>
            <w:sz w:val="18"/>
            <w:szCs w:val="18"/>
          </w:rPr>
          <w:t>格式不得以任何形式和手段予以复制</w:t>
        </w:r>
        <w:r>
          <w:rPr>
            <w:rFonts w:ascii="楷体" w:eastAsia="楷体" w:hAnsi="楷体" w:cs="Arial"/>
            <w:sz w:val="18"/>
            <w:szCs w:val="18"/>
          </w:rPr>
          <w:t>。</w:t>
        </w:r>
      </w:p>
      <w:p w14:paraId="1498D788" w14:textId="77777777" w:rsidR="00B646BF" w:rsidRDefault="00000000">
        <w:pPr>
          <w:tabs>
            <w:tab w:val="left" w:pos="1245"/>
          </w:tabs>
          <w:spacing w:line="300" w:lineRule="auto"/>
          <w:jc w:val="right"/>
          <w:rPr>
            <w:rFonts w:ascii="Calibri" w:hAnsi="Calibri" w:cs="Calibri"/>
          </w:rPr>
        </w:pPr>
        <w:r>
          <w:rPr>
            <w:rFonts w:ascii="Calibri" w:hAnsi="宋体" w:cs="Calibri"/>
            <w:kern w:val="0"/>
            <w:szCs w:val="21"/>
          </w:rPr>
          <w:t>第</w:t>
        </w:r>
        <w:r>
          <w:rPr>
            <w:rStyle w:val="af5"/>
            <w:rFonts w:ascii="Calibri" w:hAnsi="Calibri" w:cs="Calibri"/>
          </w:rPr>
          <w:fldChar w:fldCharType="begin"/>
        </w:r>
        <w:r>
          <w:rPr>
            <w:rStyle w:val="af5"/>
            <w:rFonts w:ascii="Calibri" w:hAnsi="Calibri" w:cs="Calibri"/>
          </w:rPr>
          <w:instrText xml:space="preserve"> PAGE </w:instrText>
        </w:r>
        <w:r>
          <w:rPr>
            <w:rStyle w:val="af5"/>
            <w:rFonts w:ascii="Calibri" w:hAnsi="Calibri" w:cs="Calibri"/>
          </w:rPr>
          <w:fldChar w:fldCharType="separate"/>
        </w:r>
        <w:r>
          <w:rPr>
            <w:rStyle w:val="af5"/>
            <w:rFonts w:ascii="Calibri" w:hAnsi="Calibri" w:cs="Calibri"/>
          </w:rPr>
          <w:t>2</w:t>
        </w:r>
        <w:r>
          <w:rPr>
            <w:rStyle w:val="af5"/>
            <w:rFonts w:ascii="Calibri" w:hAnsi="Calibri" w:cs="Calibri"/>
          </w:rPr>
          <w:fldChar w:fldCharType="end"/>
        </w:r>
        <w:r>
          <w:rPr>
            <w:rStyle w:val="af5"/>
            <w:rFonts w:ascii="Calibri" w:hAnsi="宋体" w:cs="Calibri"/>
          </w:rPr>
          <w:t>页</w:t>
        </w:r>
        <w:r>
          <w:rPr>
            <w:rStyle w:val="af5"/>
            <w:rFonts w:ascii="Calibri" w:hAnsi="Calibri" w:cs="Calibri"/>
          </w:rPr>
          <w:t>/</w:t>
        </w:r>
        <w:r>
          <w:rPr>
            <w:rStyle w:val="af5"/>
            <w:rFonts w:ascii="Calibri" w:hAnsi="宋体" w:cs="Calibri"/>
          </w:rPr>
          <w:t>共</w:t>
        </w:r>
        <w:r>
          <w:rPr>
            <w:rStyle w:val="af5"/>
            <w:rFonts w:ascii="Calibri" w:hAnsi="Calibri" w:cs="Calibri"/>
          </w:rPr>
          <w:fldChar w:fldCharType="begin"/>
        </w:r>
        <w:r>
          <w:rPr>
            <w:rStyle w:val="af5"/>
            <w:rFonts w:ascii="Calibri" w:hAnsi="Calibri" w:cs="Calibri"/>
          </w:rPr>
          <w:instrText xml:space="preserve"> NUMPAGES </w:instrText>
        </w:r>
        <w:r>
          <w:rPr>
            <w:rStyle w:val="af5"/>
            <w:rFonts w:ascii="Calibri" w:hAnsi="Calibri" w:cs="Calibri"/>
          </w:rPr>
          <w:fldChar w:fldCharType="separate"/>
        </w:r>
        <w:r>
          <w:rPr>
            <w:rStyle w:val="af5"/>
            <w:rFonts w:ascii="Calibri" w:hAnsi="Calibri" w:cs="Calibri"/>
          </w:rPr>
          <w:t>4</w:t>
        </w:r>
        <w:r>
          <w:rPr>
            <w:rStyle w:val="af5"/>
            <w:rFonts w:ascii="Calibri" w:hAnsi="Calibri" w:cs="Calibri"/>
          </w:rPr>
          <w:fldChar w:fldCharType="end"/>
        </w:r>
        <w:r>
          <w:rPr>
            <w:rStyle w:val="af5"/>
            <w:rFonts w:ascii="Calibri" w:hAnsi="宋体" w:cs="Calibri"/>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D7D7" w14:textId="77777777" w:rsidR="00474F2E" w:rsidRDefault="00474F2E">
      <w:r>
        <w:separator/>
      </w:r>
    </w:p>
  </w:footnote>
  <w:footnote w:type="continuationSeparator" w:id="0">
    <w:p w14:paraId="57FC5B28" w14:textId="77777777" w:rsidR="00474F2E" w:rsidRDefault="0047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D2F1" w14:textId="77777777" w:rsidR="00B646BF" w:rsidRDefault="00000000">
    <w:r>
      <w:rPr>
        <w:noProof/>
      </w:rPr>
      <w:drawing>
        <wp:inline distT="0" distB="0" distL="0" distR="0" wp14:anchorId="4C51D84E" wp14:editId="7AE4052B">
          <wp:extent cx="5486400" cy="530860"/>
          <wp:effectExtent l="0" t="0" r="0" b="2540"/>
          <wp:docPr id="2135364439" name="图片 213536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64439" name="图片 21353644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30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0C1"/>
    <w:multiLevelType w:val="multilevel"/>
    <w:tmpl w:val="1A1670C1"/>
    <w:lvl w:ilvl="0">
      <w:start w:val="1"/>
      <w:numFmt w:val="chineseCountingThousand"/>
      <w:pStyle w:val="a"/>
      <w:lvlText w:val="第%1章"/>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start w:val="1"/>
      <w:numFmt w:val="lowerRoman"/>
      <w:lvlText w:val="%1."/>
      <w:lvlJc w:val="left"/>
      <w:pPr>
        <w:ind w:left="420" w:hanging="420"/>
      </w:pPr>
      <w:rPr>
        <w:rFonts w:ascii="Cambria" w:eastAsia="Cambria" w:hAnsi="Cambria" w:hint="default"/>
      </w:rPr>
    </w:lvl>
  </w:abstractNum>
  <w:abstractNum w:abstractNumId="1" w15:restartNumberingAfterBreak="0">
    <w:nsid w:val="2477307A"/>
    <w:multiLevelType w:val="multilevel"/>
    <w:tmpl w:val="2477307A"/>
    <w:lvl w:ilvl="0">
      <w:start w:val="1"/>
      <w:numFmt w:val="bullet"/>
      <w:lvlText w:val=""/>
      <w:lvlJc w:val="left"/>
      <w:pPr>
        <w:ind w:left="1140" w:hanging="7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E3979E5"/>
    <w:multiLevelType w:val="multilevel"/>
    <w:tmpl w:val="2E3979E5"/>
    <w:lvl w:ilvl="0">
      <w:start w:val="1"/>
      <w:numFmt w:val="bullet"/>
      <w:lvlText w:val=""/>
      <w:lvlJc w:val="left"/>
      <w:pPr>
        <w:ind w:left="862" w:hanging="440"/>
      </w:pPr>
      <w:rPr>
        <w:rFonts w:ascii="Wingdings" w:hAnsi="Wingdings" w:hint="default"/>
      </w:rPr>
    </w:lvl>
    <w:lvl w:ilvl="1">
      <w:start w:val="1"/>
      <w:numFmt w:val="bullet"/>
      <w:lvlText w:val=""/>
      <w:lvlJc w:val="left"/>
      <w:pPr>
        <w:ind w:left="1302" w:hanging="440"/>
      </w:pPr>
      <w:rPr>
        <w:rFonts w:ascii="Wingdings" w:hAnsi="Wingdings" w:hint="default"/>
      </w:rPr>
    </w:lvl>
    <w:lvl w:ilvl="2">
      <w:start w:val="1"/>
      <w:numFmt w:val="bullet"/>
      <w:lvlText w:val=""/>
      <w:lvlJc w:val="left"/>
      <w:pPr>
        <w:ind w:left="1742" w:hanging="440"/>
      </w:pPr>
      <w:rPr>
        <w:rFonts w:ascii="Wingdings" w:hAnsi="Wingdings" w:hint="default"/>
      </w:rPr>
    </w:lvl>
    <w:lvl w:ilvl="3">
      <w:start w:val="1"/>
      <w:numFmt w:val="bullet"/>
      <w:lvlText w:val=""/>
      <w:lvlJc w:val="left"/>
      <w:pPr>
        <w:ind w:left="2182" w:hanging="440"/>
      </w:pPr>
      <w:rPr>
        <w:rFonts w:ascii="Wingdings" w:hAnsi="Wingdings" w:hint="default"/>
      </w:rPr>
    </w:lvl>
    <w:lvl w:ilvl="4">
      <w:start w:val="1"/>
      <w:numFmt w:val="bullet"/>
      <w:lvlText w:val=""/>
      <w:lvlJc w:val="left"/>
      <w:pPr>
        <w:ind w:left="2622" w:hanging="440"/>
      </w:pPr>
      <w:rPr>
        <w:rFonts w:ascii="Wingdings" w:hAnsi="Wingdings" w:hint="default"/>
      </w:rPr>
    </w:lvl>
    <w:lvl w:ilvl="5">
      <w:start w:val="1"/>
      <w:numFmt w:val="bullet"/>
      <w:lvlText w:val=""/>
      <w:lvlJc w:val="left"/>
      <w:pPr>
        <w:ind w:left="3062" w:hanging="440"/>
      </w:pPr>
      <w:rPr>
        <w:rFonts w:ascii="Wingdings" w:hAnsi="Wingdings" w:hint="default"/>
      </w:rPr>
    </w:lvl>
    <w:lvl w:ilvl="6">
      <w:start w:val="1"/>
      <w:numFmt w:val="bullet"/>
      <w:lvlText w:val=""/>
      <w:lvlJc w:val="left"/>
      <w:pPr>
        <w:ind w:left="3502" w:hanging="440"/>
      </w:pPr>
      <w:rPr>
        <w:rFonts w:ascii="Wingdings" w:hAnsi="Wingdings" w:hint="default"/>
      </w:rPr>
    </w:lvl>
    <w:lvl w:ilvl="7">
      <w:start w:val="1"/>
      <w:numFmt w:val="bullet"/>
      <w:lvlText w:val=""/>
      <w:lvlJc w:val="left"/>
      <w:pPr>
        <w:ind w:left="3942" w:hanging="440"/>
      </w:pPr>
      <w:rPr>
        <w:rFonts w:ascii="Wingdings" w:hAnsi="Wingdings" w:hint="default"/>
      </w:rPr>
    </w:lvl>
    <w:lvl w:ilvl="8">
      <w:start w:val="1"/>
      <w:numFmt w:val="bullet"/>
      <w:lvlText w:val=""/>
      <w:lvlJc w:val="left"/>
      <w:pPr>
        <w:ind w:left="4382" w:hanging="440"/>
      </w:pPr>
      <w:rPr>
        <w:rFonts w:ascii="Wingdings" w:hAnsi="Wingdings" w:hint="default"/>
      </w:rPr>
    </w:lvl>
  </w:abstractNum>
  <w:abstractNum w:abstractNumId="3" w15:restartNumberingAfterBreak="0">
    <w:nsid w:val="36505D07"/>
    <w:multiLevelType w:val="hybridMultilevel"/>
    <w:tmpl w:val="26C22B78"/>
    <w:lvl w:ilvl="0" w:tplc="04090001">
      <w:start w:val="1"/>
      <w:numFmt w:val="bullet"/>
      <w:lvlText w:val=""/>
      <w:lvlJc w:val="left"/>
      <w:pPr>
        <w:ind w:left="1340" w:hanging="440"/>
      </w:pPr>
      <w:rPr>
        <w:rFonts w:ascii="Wingdings" w:hAnsi="Wingdings" w:hint="default"/>
      </w:rPr>
    </w:lvl>
    <w:lvl w:ilvl="1" w:tplc="04090003" w:tentative="1">
      <w:start w:val="1"/>
      <w:numFmt w:val="bullet"/>
      <w:lvlText w:val=""/>
      <w:lvlJc w:val="left"/>
      <w:pPr>
        <w:ind w:left="1780" w:hanging="440"/>
      </w:pPr>
      <w:rPr>
        <w:rFonts w:ascii="Wingdings" w:hAnsi="Wingdings" w:hint="default"/>
      </w:rPr>
    </w:lvl>
    <w:lvl w:ilvl="2" w:tplc="04090005"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3" w:tentative="1">
      <w:start w:val="1"/>
      <w:numFmt w:val="bullet"/>
      <w:lvlText w:val=""/>
      <w:lvlJc w:val="left"/>
      <w:pPr>
        <w:ind w:left="3100" w:hanging="440"/>
      </w:pPr>
      <w:rPr>
        <w:rFonts w:ascii="Wingdings" w:hAnsi="Wingdings" w:hint="default"/>
      </w:rPr>
    </w:lvl>
    <w:lvl w:ilvl="5" w:tplc="04090005"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3" w:tentative="1">
      <w:start w:val="1"/>
      <w:numFmt w:val="bullet"/>
      <w:lvlText w:val=""/>
      <w:lvlJc w:val="left"/>
      <w:pPr>
        <w:ind w:left="4420" w:hanging="440"/>
      </w:pPr>
      <w:rPr>
        <w:rFonts w:ascii="Wingdings" w:hAnsi="Wingdings" w:hint="default"/>
      </w:rPr>
    </w:lvl>
    <w:lvl w:ilvl="8" w:tplc="04090005" w:tentative="1">
      <w:start w:val="1"/>
      <w:numFmt w:val="bullet"/>
      <w:lvlText w:val=""/>
      <w:lvlJc w:val="left"/>
      <w:pPr>
        <w:ind w:left="4860" w:hanging="440"/>
      </w:pPr>
      <w:rPr>
        <w:rFonts w:ascii="Wingdings" w:hAnsi="Wingdings" w:hint="default"/>
      </w:rPr>
    </w:lvl>
  </w:abstractNum>
  <w:abstractNum w:abstractNumId="4" w15:restartNumberingAfterBreak="0">
    <w:nsid w:val="4187072B"/>
    <w:multiLevelType w:val="multilevel"/>
    <w:tmpl w:val="4187072B"/>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5" w15:restartNumberingAfterBreak="0">
    <w:nsid w:val="4B0D7FBC"/>
    <w:multiLevelType w:val="singleLevel"/>
    <w:tmpl w:val="4B0D7FBC"/>
    <w:lvl w:ilvl="0">
      <w:start w:val="1"/>
      <w:numFmt w:val="bullet"/>
      <w:lvlText w:val=""/>
      <w:lvlJc w:val="left"/>
      <w:pPr>
        <w:ind w:left="420" w:hanging="420"/>
      </w:pPr>
      <w:rPr>
        <w:rFonts w:ascii="Wingdings" w:hAnsi="Wingdings" w:hint="default"/>
      </w:rPr>
    </w:lvl>
  </w:abstractNum>
  <w:abstractNum w:abstractNumId="6" w15:restartNumberingAfterBreak="0">
    <w:nsid w:val="54BD261B"/>
    <w:multiLevelType w:val="multilevel"/>
    <w:tmpl w:val="54BD261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EC28D6"/>
    <w:multiLevelType w:val="hybridMultilevel"/>
    <w:tmpl w:val="336C4692"/>
    <w:lvl w:ilvl="0" w:tplc="FFFFFFFF">
      <w:start w:val="1"/>
      <w:numFmt w:val="decimal"/>
      <w:lvlText w:val="%1."/>
      <w:lvlJc w:val="left"/>
      <w:pPr>
        <w:ind w:left="900" w:hanging="420"/>
      </w:pPr>
      <w:rPr>
        <w:rFonts w:ascii="Calibri" w:hAnsi="Calibri" w:cs="Calibri" w:hint="default"/>
      </w:rPr>
    </w:lvl>
    <w:lvl w:ilvl="1" w:tplc="FFFFFFFF">
      <w:start w:val="1"/>
      <w:numFmt w:val="decimal"/>
      <w:lvlText w:val="%2．"/>
      <w:lvlJc w:val="left"/>
      <w:pPr>
        <w:ind w:left="1620" w:hanging="720"/>
      </w:pPr>
      <w:rPr>
        <w:rFonts w:hint="default"/>
      </w:r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8" w15:restartNumberingAfterBreak="0">
    <w:nsid w:val="6B7A65C0"/>
    <w:multiLevelType w:val="multilevel"/>
    <w:tmpl w:val="6B7A65C0"/>
    <w:lvl w:ilvl="0">
      <w:start w:val="1"/>
      <w:numFmt w:val="decimal"/>
      <w:lvlText w:val="%1."/>
      <w:lvlJc w:val="left"/>
      <w:pPr>
        <w:ind w:left="900" w:hanging="420"/>
      </w:pPr>
      <w:rPr>
        <w:rFonts w:ascii="Calibri" w:hAnsi="Calibri" w:cs="Calibri"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77524D65"/>
    <w:multiLevelType w:val="multilevel"/>
    <w:tmpl w:val="77524D65"/>
    <w:lvl w:ilvl="0">
      <w:start w:val="1"/>
      <w:numFmt w:val="chineseCountingThousand"/>
      <w:pStyle w:val="a0"/>
      <w:lvlText w:val="%1、"/>
      <w:lvlJc w:val="left"/>
      <w:pPr>
        <w:ind w:left="420" w:hanging="420"/>
      </w:pPr>
      <w:rPr>
        <w:rFonts w:ascii="Cambria" w:eastAsia="Cambria" w:hAnsi="Cambria" w:hint="default"/>
      </w:rPr>
    </w:lvl>
    <w:lvl w:ilvl="1">
      <w:start w:val="1"/>
      <w:numFmt w:val="lowerLetter"/>
      <w:lvlText w:val="%1."/>
      <w:lvlJc w:val="left"/>
      <w:pPr>
        <w:ind w:left="420" w:hanging="420"/>
      </w:pPr>
      <w:rPr>
        <w:rFonts w:ascii="Cambria" w:eastAsia="Cambria" w:hAnsi="Cambria" w:hint="default"/>
      </w:rPr>
    </w:lvl>
    <w:lvl w:ilvl="2">
      <w:start w:val="1"/>
      <w:numFmt w:val="lowerRoman"/>
      <w:lvlText w:val="%1."/>
      <w:lvlJc w:val="left"/>
      <w:pPr>
        <w:ind w:left="420" w:hanging="420"/>
      </w:pPr>
      <w:rPr>
        <w:rFonts w:ascii="Cambria" w:eastAsia="Cambria" w:hAnsi="Cambria" w:hint="default"/>
      </w:rPr>
    </w:lvl>
    <w:lvl w:ilvl="3">
      <w:start w:val="1"/>
      <w:numFmt w:val="decimal"/>
      <w:lvlText w:val="%1."/>
      <w:lvlJc w:val="left"/>
      <w:pPr>
        <w:ind w:left="420" w:hanging="420"/>
      </w:pPr>
      <w:rPr>
        <w:rFonts w:ascii="Cambria" w:eastAsia="Cambria" w:hAnsi="Cambria" w:hint="default"/>
      </w:rPr>
    </w:lvl>
    <w:lvl w:ilvl="4">
      <w:start w:val="1"/>
      <w:numFmt w:val="lowerLetter"/>
      <w:lvlText w:val="%1."/>
      <w:lvlJc w:val="left"/>
      <w:pPr>
        <w:ind w:left="420" w:hanging="420"/>
      </w:pPr>
      <w:rPr>
        <w:rFonts w:ascii="Cambria" w:eastAsia="Cambria" w:hAnsi="Cambria" w:hint="default"/>
      </w:rPr>
    </w:lvl>
    <w:lvl w:ilvl="5">
      <w:start w:val="1"/>
      <w:numFmt w:val="lowerRoman"/>
      <w:lvlText w:val="%1."/>
      <w:lvlJc w:val="left"/>
      <w:pPr>
        <w:ind w:left="420" w:hanging="420"/>
      </w:pPr>
      <w:rPr>
        <w:rFonts w:ascii="Cambria" w:eastAsia="Cambria" w:hAnsi="Cambria" w:hint="default"/>
      </w:rPr>
    </w:lvl>
    <w:lvl w:ilvl="6">
      <w:start w:val="1"/>
      <w:numFmt w:val="decimal"/>
      <w:lvlText w:val="%1."/>
      <w:lvlJc w:val="left"/>
      <w:pPr>
        <w:ind w:left="420" w:hanging="420"/>
      </w:pPr>
      <w:rPr>
        <w:rFonts w:ascii="Cambria" w:eastAsia="Cambria" w:hAnsi="Cambria" w:hint="default"/>
      </w:rPr>
    </w:lvl>
    <w:lvl w:ilvl="7">
      <w:start w:val="1"/>
      <w:numFmt w:val="lowerLetter"/>
      <w:lvlText w:val="%1."/>
      <w:lvlJc w:val="left"/>
      <w:pPr>
        <w:ind w:left="420" w:hanging="420"/>
      </w:pPr>
      <w:rPr>
        <w:rFonts w:ascii="Cambria" w:eastAsia="Cambria" w:hAnsi="Cambria" w:hint="default"/>
      </w:rPr>
    </w:lvl>
    <w:lvl w:ilvl="8">
      <w:start w:val="1"/>
      <w:numFmt w:val="lowerRoman"/>
      <w:lvlText w:val="%1."/>
      <w:lvlJc w:val="left"/>
      <w:pPr>
        <w:ind w:left="420" w:hanging="420"/>
      </w:pPr>
      <w:rPr>
        <w:rFonts w:ascii="Cambria" w:eastAsia="Cambria" w:hAnsi="Cambria" w:hint="default"/>
      </w:rPr>
    </w:lvl>
  </w:abstractNum>
  <w:num w:numId="1" w16cid:durableId="101341157">
    <w:abstractNumId w:val="0"/>
  </w:num>
  <w:num w:numId="2" w16cid:durableId="1959219666">
    <w:abstractNumId w:val="9"/>
  </w:num>
  <w:num w:numId="3" w16cid:durableId="721711301">
    <w:abstractNumId w:val="5"/>
  </w:num>
  <w:num w:numId="4" w16cid:durableId="864948996">
    <w:abstractNumId w:val="8"/>
  </w:num>
  <w:num w:numId="5" w16cid:durableId="1743868446">
    <w:abstractNumId w:val="4"/>
  </w:num>
  <w:num w:numId="6" w16cid:durableId="1688675838">
    <w:abstractNumId w:val="1"/>
  </w:num>
  <w:num w:numId="7" w16cid:durableId="1809591935">
    <w:abstractNumId w:val="2"/>
  </w:num>
  <w:num w:numId="8" w16cid:durableId="1620336165">
    <w:abstractNumId w:val="6"/>
  </w:num>
  <w:num w:numId="9" w16cid:durableId="1358308081">
    <w:abstractNumId w:val="7"/>
  </w:num>
  <w:num w:numId="10" w16cid:durableId="1330250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BF"/>
    <w:rsid w:val="0000021D"/>
    <w:rsid w:val="00000BF0"/>
    <w:rsid w:val="000028A5"/>
    <w:rsid w:val="00002A0E"/>
    <w:rsid w:val="00007314"/>
    <w:rsid w:val="00014B5C"/>
    <w:rsid w:val="0001505A"/>
    <w:rsid w:val="00015F22"/>
    <w:rsid w:val="00020D27"/>
    <w:rsid w:val="0002162E"/>
    <w:rsid w:val="00021981"/>
    <w:rsid w:val="0002293D"/>
    <w:rsid w:val="0002309D"/>
    <w:rsid w:val="000279BF"/>
    <w:rsid w:val="00031096"/>
    <w:rsid w:val="00032677"/>
    <w:rsid w:val="0003319D"/>
    <w:rsid w:val="00040078"/>
    <w:rsid w:val="00052652"/>
    <w:rsid w:val="0006053A"/>
    <w:rsid w:val="000614ED"/>
    <w:rsid w:val="000617F8"/>
    <w:rsid w:val="0006572D"/>
    <w:rsid w:val="000661B5"/>
    <w:rsid w:val="000661FD"/>
    <w:rsid w:val="00066D37"/>
    <w:rsid w:val="00070831"/>
    <w:rsid w:val="00072050"/>
    <w:rsid w:val="000726FF"/>
    <w:rsid w:val="00074020"/>
    <w:rsid w:val="00077FA0"/>
    <w:rsid w:val="00080900"/>
    <w:rsid w:val="000830C3"/>
    <w:rsid w:val="0008752E"/>
    <w:rsid w:val="00090C1C"/>
    <w:rsid w:val="00093427"/>
    <w:rsid w:val="0009501D"/>
    <w:rsid w:val="00095422"/>
    <w:rsid w:val="00095708"/>
    <w:rsid w:val="000964D5"/>
    <w:rsid w:val="00096634"/>
    <w:rsid w:val="00096F98"/>
    <w:rsid w:val="000A118C"/>
    <w:rsid w:val="000A2463"/>
    <w:rsid w:val="000A2D90"/>
    <w:rsid w:val="000A3AB5"/>
    <w:rsid w:val="000A3CDD"/>
    <w:rsid w:val="000A3F9D"/>
    <w:rsid w:val="000A458F"/>
    <w:rsid w:val="000A4BC8"/>
    <w:rsid w:val="000A65DF"/>
    <w:rsid w:val="000B08DA"/>
    <w:rsid w:val="000B094C"/>
    <w:rsid w:val="000B1CBC"/>
    <w:rsid w:val="000B743A"/>
    <w:rsid w:val="000C17C6"/>
    <w:rsid w:val="000C32D8"/>
    <w:rsid w:val="000C36EC"/>
    <w:rsid w:val="000C39F1"/>
    <w:rsid w:val="000C47E3"/>
    <w:rsid w:val="000C481C"/>
    <w:rsid w:val="000C5B79"/>
    <w:rsid w:val="000D046B"/>
    <w:rsid w:val="000D2111"/>
    <w:rsid w:val="000D2C91"/>
    <w:rsid w:val="000D4A0D"/>
    <w:rsid w:val="000D7C3A"/>
    <w:rsid w:val="000E063A"/>
    <w:rsid w:val="000E0C10"/>
    <w:rsid w:val="000E1162"/>
    <w:rsid w:val="000E1B4E"/>
    <w:rsid w:val="000E4E9F"/>
    <w:rsid w:val="000E698F"/>
    <w:rsid w:val="000E6B57"/>
    <w:rsid w:val="000F22D9"/>
    <w:rsid w:val="000F30B4"/>
    <w:rsid w:val="000F3D88"/>
    <w:rsid w:val="000F570F"/>
    <w:rsid w:val="000F64E2"/>
    <w:rsid w:val="00103F0A"/>
    <w:rsid w:val="0010439F"/>
    <w:rsid w:val="001053B8"/>
    <w:rsid w:val="00110027"/>
    <w:rsid w:val="0011295F"/>
    <w:rsid w:val="001138ED"/>
    <w:rsid w:val="001205BC"/>
    <w:rsid w:val="001205EB"/>
    <w:rsid w:val="00120C8E"/>
    <w:rsid w:val="0012242C"/>
    <w:rsid w:val="00127E6D"/>
    <w:rsid w:val="00131195"/>
    <w:rsid w:val="00133CFF"/>
    <w:rsid w:val="00135D87"/>
    <w:rsid w:val="001364D3"/>
    <w:rsid w:val="00140695"/>
    <w:rsid w:val="00141684"/>
    <w:rsid w:val="00143115"/>
    <w:rsid w:val="0014468F"/>
    <w:rsid w:val="00147EEB"/>
    <w:rsid w:val="0015079C"/>
    <w:rsid w:val="00150FD4"/>
    <w:rsid w:val="001556E9"/>
    <w:rsid w:val="001562A3"/>
    <w:rsid w:val="00156AA9"/>
    <w:rsid w:val="00160E9A"/>
    <w:rsid w:val="00161C52"/>
    <w:rsid w:val="00162109"/>
    <w:rsid w:val="00162396"/>
    <w:rsid w:val="00162A04"/>
    <w:rsid w:val="001644CF"/>
    <w:rsid w:val="001651CE"/>
    <w:rsid w:val="001748C7"/>
    <w:rsid w:val="00176F6C"/>
    <w:rsid w:val="001819E4"/>
    <w:rsid w:val="00191A8D"/>
    <w:rsid w:val="00191E48"/>
    <w:rsid w:val="00192B70"/>
    <w:rsid w:val="001931BF"/>
    <w:rsid w:val="00194CA9"/>
    <w:rsid w:val="00194E4D"/>
    <w:rsid w:val="001977D9"/>
    <w:rsid w:val="001A11AF"/>
    <w:rsid w:val="001A1F72"/>
    <w:rsid w:val="001A2052"/>
    <w:rsid w:val="001A31C5"/>
    <w:rsid w:val="001A5953"/>
    <w:rsid w:val="001B543A"/>
    <w:rsid w:val="001B6313"/>
    <w:rsid w:val="001C00FE"/>
    <w:rsid w:val="001C0615"/>
    <w:rsid w:val="001C1C87"/>
    <w:rsid w:val="001C2110"/>
    <w:rsid w:val="001C5D69"/>
    <w:rsid w:val="001C62F0"/>
    <w:rsid w:val="001C6923"/>
    <w:rsid w:val="001D4177"/>
    <w:rsid w:val="001D5DC2"/>
    <w:rsid w:val="001D6F8B"/>
    <w:rsid w:val="001E0BD5"/>
    <w:rsid w:val="001E0CFE"/>
    <w:rsid w:val="001E5160"/>
    <w:rsid w:val="001F1279"/>
    <w:rsid w:val="001F28F5"/>
    <w:rsid w:val="001F45A0"/>
    <w:rsid w:val="0020228E"/>
    <w:rsid w:val="00202D23"/>
    <w:rsid w:val="0020391E"/>
    <w:rsid w:val="00204EFF"/>
    <w:rsid w:val="00215930"/>
    <w:rsid w:val="002221EC"/>
    <w:rsid w:val="002251F8"/>
    <w:rsid w:val="00225702"/>
    <w:rsid w:val="002276F7"/>
    <w:rsid w:val="00232FDB"/>
    <w:rsid w:val="00235188"/>
    <w:rsid w:val="0023527A"/>
    <w:rsid w:val="00237E30"/>
    <w:rsid w:val="0024560D"/>
    <w:rsid w:val="00246799"/>
    <w:rsid w:val="00246BD0"/>
    <w:rsid w:val="002504B4"/>
    <w:rsid w:val="002509F8"/>
    <w:rsid w:val="00253458"/>
    <w:rsid w:val="00257FCA"/>
    <w:rsid w:val="00260209"/>
    <w:rsid w:val="00266385"/>
    <w:rsid w:val="00270335"/>
    <w:rsid w:val="00274716"/>
    <w:rsid w:val="0027503F"/>
    <w:rsid w:val="002800A8"/>
    <w:rsid w:val="002822CC"/>
    <w:rsid w:val="00283355"/>
    <w:rsid w:val="002849C1"/>
    <w:rsid w:val="0028575A"/>
    <w:rsid w:val="00285B80"/>
    <w:rsid w:val="0028663C"/>
    <w:rsid w:val="00287B0D"/>
    <w:rsid w:val="00290780"/>
    <w:rsid w:val="0029174C"/>
    <w:rsid w:val="00291F4A"/>
    <w:rsid w:val="00294477"/>
    <w:rsid w:val="002958C9"/>
    <w:rsid w:val="00295C57"/>
    <w:rsid w:val="002A151D"/>
    <w:rsid w:val="002A3294"/>
    <w:rsid w:val="002B16FA"/>
    <w:rsid w:val="002B4401"/>
    <w:rsid w:val="002B5CF5"/>
    <w:rsid w:val="002C050F"/>
    <w:rsid w:val="002C4165"/>
    <w:rsid w:val="002C4C56"/>
    <w:rsid w:val="002C5B29"/>
    <w:rsid w:val="002C7E81"/>
    <w:rsid w:val="002D161E"/>
    <w:rsid w:val="002D2035"/>
    <w:rsid w:val="002D4D00"/>
    <w:rsid w:val="002D6454"/>
    <w:rsid w:val="002E0D20"/>
    <w:rsid w:val="002E14A9"/>
    <w:rsid w:val="002E2059"/>
    <w:rsid w:val="002E2233"/>
    <w:rsid w:val="002E2257"/>
    <w:rsid w:val="002E6A89"/>
    <w:rsid w:val="002E7952"/>
    <w:rsid w:val="002F1B25"/>
    <w:rsid w:val="002F1D17"/>
    <w:rsid w:val="002F3DFD"/>
    <w:rsid w:val="002F43D8"/>
    <w:rsid w:val="002F62BA"/>
    <w:rsid w:val="00300063"/>
    <w:rsid w:val="00304171"/>
    <w:rsid w:val="003047F6"/>
    <w:rsid w:val="003062D2"/>
    <w:rsid w:val="00306687"/>
    <w:rsid w:val="00307BE3"/>
    <w:rsid w:val="00307D9A"/>
    <w:rsid w:val="00313CB8"/>
    <w:rsid w:val="00316D0A"/>
    <w:rsid w:val="00317D5E"/>
    <w:rsid w:val="003258E1"/>
    <w:rsid w:val="00335DDC"/>
    <w:rsid w:val="00340DFD"/>
    <w:rsid w:val="00340EDF"/>
    <w:rsid w:val="00345819"/>
    <w:rsid w:val="0034741F"/>
    <w:rsid w:val="003524FC"/>
    <w:rsid w:val="0035314E"/>
    <w:rsid w:val="00354B1E"/>
    <w:rsid w:val="00356209"/>
    <w:rsid w:val="00356D34"/>
    <w:rsid w:val="00362D00"/>
    <w:rsid w:val="00363E2A"/>
    <w:rsid w:val="003640E4"/>
    <w:rsid w:val="0036433A"/>
    <w:rsid w:val="00366EAB"/>
    <w:rsid w:val="00373C73"/>
    <w:rsid w:val="00375CCA"/>
    <w:rsid w:val="003805C7"/>
    <w:rsid w:val="003807C9"/>
    <w:rsid w:val="00380CE4"/>
    <w:rsid w:val="0038376C"/>
    <w:rsid w:val="003877A9"/>
    <w:rsid w:val="00393728"/>
    <w:rsid w:val="003951BB"/>
    <w:rsid w:val="00395C9A"/>
    <w:rsid w:val="00396A8A"/>
    <w:rsid w:val="003A2357"/>
    <w:rsid w:val="003A4939"/>
    <w:rsid w:val="003A55AA"/>
    <w:rsid w:val="003B0ABF"/>
    <w:rsid w:val="003B16AF"/>
    <w:rsid w:val="003B3FD6"/>
    <w:rsid w:val="003B4B78"/>
    <w:rsid w:val="003B57A3"/>
    <w:rsid w:val="003B5FFA"/>
    <w:rsid w:val="003B608B"/>
    <w:rsid w:val="003C0139"/>
    <w:rsid w:val="003C31E0"/>
    <w:rsid w:val="003D0D5F"/>
    <w:rsid w:val="003D1750"/>
    <w:rsid w:val="003D370B"/>
    <w:rsid w:val="003D639D"/>
    <w:rsid w:val="003E00D4"/>
    <w:rsid w:val="003E1976"/>
    <w:rsid w:val="003F039E"/>
    <w:rsid w:val="003F2615"/>
    <w:rsid w:val="003F2D86"/>
    <w:rsid w:val="003F3040"/>
    <w:rsid w:val="003F3734"/>
    <w:rsid w:val="003F41C9"/>
    <w:rsid w:val="0040157C"/>
    <w:rsid w:val="0040549A"/>
    <w:rsid w:val="00405A9C"/>
    <w:rsid w:val="00405F0C"/>
    <w:rsid w:val="004071B2"/>
    <w:rsid w:val="004130CD"/>
    <w:rsid w:val="004140C8"/>
    <w:rsid w:val="0041694D"/>
    <w:rsid w:val="00417521"/>
    <w:rsid w:val="00422D89"/>
    <w:rsid w:val="00422DAE"/>
    <w:rsid w:val="00425A70"/>
    <w:rsid w:val="0043705A"/>
    <w:rsid w:val="00442A91"/>
    <w:rsid w:val="00442EF1"/>
    <w:rsid w:val="0044514D"/>
    <w:rsid w:val="00446CD4"/>
    <w:rsid w:val="00455E16"/>
    <w:rsid w:val="00456D05"/>
    <w:rsid w:val="004624AA"/>
    <w:rsid w:val="00463697"/>
    <w:rsid w:val="004648D3"/>
    <w:rsid w:val="00464A3B"/>
    <w:rsid w:val="00467E73"/>
    <w:rsid w:val="00470581"/>
    <w:rsid w:val="00474CE0"/>
    <w:rsid w:val="00474F2E"/>
    <w:rsid w:val="00480394"/>
    <w:rsid w:val="00480B90"/>
    <w:rsid w:val="00481D63"/>
    <w:rsid w:val="00482290"/>
    <w:rsid w:val="004826E0"/>
    <w:rsid w:val="00483BE1"/>
    <w:rsid w:val="004870FE"/>
    <w:rsid w:val="004928D9"/>
    <w:rsid w:val="004934FA"/>
    <w:rsid w:val="004A0EAB"/>
    <w:rsid w:val="004A2169"/>
    <w:rsid w:val="004A3FDF"/>
    <w:rsid w:val="004A41C8"/>
    <w:rsid w:val="004A587B"/>
    <w:rsid w:val="004A64D0"/>
    <w:rsid w:val="004A69D2"/>
    <w:rsid w:val="004A6F89"/>
    <w:rsid w:val="004B2106"/>
    <w:rsid w:val="004B32E0"/>
    <w:rsid w:val="004B42F7"/>
    <w:rsid w:val="004B4EBF"/>
    <w:rsid w:val="004C2F94"/>
    <w:rsid w:val="004C3970"/>
    <w:rsid w:val="004C5E70"/>
    <w:rsid w:val="004D2C9C"/>
    <w:rsid w:val="004D37EF"/>
    <w:rsid w:val="004D5C1B"/>
    <w:rsid w:val="004E27A8"/>
    <w:rsid w:val="004E29A7"/>
    <w:rsid w:val="004E42A3"/>
    <w:rsid w:val="004E4D3D"/>
    <w:rsid w:val="004E5F31"/>
    <w:rsid w:val="004E7A4C"/>
    <w:rsid w:val="004F0A1F"/>
    <w:rsid w:val="004F128A"/>
    <w:rsid w:val="004F4877"/>
    <w:rsid w:val="004F7A8E"/>
    <w:rsid w:val="00511A3E"/>
    <w:rsid w:val="00514DAA"/>
    <w:rsid w:val="00515ACC"/>
    <w:rsid w:val="00515BC0"/>
    <w:rsid w:val="00516CBA"/>
    <w:rsid w:val="00517637"/>
    <w:rsid w:val="00521848"/>
    <w:rsid w:val="00523334"/>
    <w:rsid w:val="005235E8"/>
    <w:rsid w:val="00526A2A"/>
    <w:rsid w:val="0053000C"/>
    <w:rsid w:val="0053249A"/>
    <w:rsid w:val="00532714"/>
    <w:rsid w:val="005367DF"/>
    <w:rsid w:val="00541075"/>
    <w:rsid w:val="005426B3"/>
    <w:rsid w:val="00542EC1"/>
    <w:rsid w:val="00543D23"/>
    <w:rsid w:val="00544B5E"/>
    <w:rsid w:val="00547045"/>
    <w:rsid w:val="00550068"/>
    <w:rsid w:val="0055146A"/>
    <w:rsid w:val="00551DFF"/>
    <w:rsid w:val="0055262E"/>
    <w:rsid w:val="00552B63"/>
    <w:rsid w:val="005563D5"/>
    <w:rsid w:val="00561495"/>
    <w:rsid w:val="00561A3D"/>
    <w:rsid w:val="00563660"/>
    <w:rsid w:val="00567F42"/>
    <w:rsid w:val="00571A42"/>
    <w:rsid w:val="0057328A"/>
    <w:rsid w:val="00574FCD"/>
    <w:rsid w:val="00575742"/>
    <w:rsid w:val="00575A84"/>
    <w:rsid w:val="00580892"/>
    <w:rsid w:val="0058221E"/>
    <w:rsid w:val="00582632"/>
    <w:rsid w:val="00582F83"/>
    <w:rsid w:val="00584DC4"/>
    <w:rsid w:val="0059296A"/>
    <w:rsid w:val="00596C48"/>
    <w:rsid w:val="005970C1"/>
    <w:rsid w:val="005A3D5A"/>
    <w:rsid w:val="005B0553"/>
    <w:rsid w:val="005B118B"/>
    <w:rsid w:val="005B2428"/>
    <w:rsid w:val="005B4F4A"/>
    <w:rsid w:val="005B560E"/>
    <w:rsid w:val="005C0E32"/>
    <w:rsid w:val="005C1ACA"/>
    <w:rsid w:val="005C1FE5"/>
    <w:rsid w:val="005C76D2"/>
    <w:rsid w:val="005C7966"/>
    <w:rsid w:val="005D0D4E"/>
    <w:rsid w:val="005D339D"/>
    <w:rsid w:val="005E04E3"/>
    <w:rsid w:val="005E30C8"/>
    <w:rsid w:val="005E572E"/>
    <w:rsid w:val="005E69D6"/>
    <w:rsid w:val="005E7333"/>
    <w:rsid w:val="005F047C"/>
    <w:rsid w:val="005F2122"/>
    <w:rsid w:val="005F2AE8"/>
    <w:rsid w:val="005F2C56"/>
    <w:rsid w:val="005F3015"/>
    <w:rsid w:val="005F32C7"/>
    <w:rsid w:val="005F58CA"/>
    <w:rsid w:val="005F59F5"/>
    <w:rsid w:val="005F7FAF"/>
    <w:rsid w:val="00600020"/>
    <w:rsid w:val="0060079A"/>
    <w:rsid w:val="00603572"/>
    <w:rsid w:val="00606155"/>
    <w:rsid w:val="00611287"/>
    <w:rsid w:val="00613B14"/>
    <w:rsid w:val="00616B0C"/>
    <w:rsid w:val="00620DA0"/>
    <w:rsid w:val="0062472C"/>
    <w:rsid w:val="006250A1"/>
    <w:rsid w:val="00625478"/>
    <w:rsid w:val="006351FB"/>
    <w:rsid w:val="0063613D"/>
    <w:rsid w:val="00636B0B"/>
    <w:rsid w:val="00637BA8"/>
    <w:rsid w:val="00641626"/>
    <w:rsid w:val="0064334A"/>
    <w:rsid w:val="00646C53"/>
    <w:rsid w:val="0064706B"/>
    <w:rsid w:val="0065190B"/>
    <w:rsid w:val="00651E99"/>
    <w:rsid w:val="00654093"/>
    <w:rsid w:val="00655030"/>
    <w:rsid w:val="00657530"/>
    <w:rsid w:val="00660441"/>
    <w:rsid w:val="00660F26"/>
    <w:rsid w:val="006612D3"/>
    <w:rsid w:val="00661D92"/>
    <w:rsid w:val="00662A8E"/>
    <w:rsid w:val="006640A0"/>
    <w:rsid w:val="0066534C"/>
    <w:rsid w:val="00681A54"/>
    <w:rsid w:val="0068299D"/>
    <w:rsid w:val="00683321"/>
    <w:rsid w:val="0068444D"/>
    <w:rsid w:val="006869FD"/>
    <w:rsid w:val="006873D2"/>
    <w:rsid w:val="00691A94"/>
    <w:rsid w:val="00693A3D"/>
    <w:rsid w:val="00694B69"/>
    <w:rsid w:val="00697875"/>
    <w:rsid w:val="00697BD2"/>
    <w:rsid w:val="006A0413"/>
    <w:rsid w:val="006A06F2"/>
    <w:rsid w:val="006A0A72"/>
    <w:rsid w:val="006A1313"/>
    <w:rsid w:val="006A1D44"/>
    <w:rsid w:val="006A2FF8"/>
    <w:rsid w:val="006A304D"/>
    <w:rsid w:val="006A4C80"/>
    <w:rsid w:val="006A6A13"/>
    <w:rsid w:val="006B07AF"/>
    <w:rsid w:val="006B1814"/>
    <w:rsid w:val="006B4ED1"/>
    <w:rsid w:val="006B6B87"/>
    <w:rsid w:val="006B72B5"/>
    <w:rsid w:val="006C3AF6"/>
    <w:rsid w:val="006D18FC"/>
    <w:rsid w:val="006D1A33"/>
    <w:rsid w:val="006D646D"/>
    <w:rsid w:val="006D68FB"/>
    <w:rsid w:val="006E2515"/>
    <w:rsid w:val="006E3323"/>
    <w:rsid w:val="006E3DAE"/>
    <w:rsid w:val="006E603B"/>
    <w:rsid w:val="006F0E76"/>
    <w:rsid w:val="006F262F"/>
    <w:rsid w:val="006F3057"/>
    <w:rsid w:val="006F37F9"/>
    <w:rsid w:val="006F66E7"/>
    <w:rsid w:val="006F7D5A"/>
    <w:rsid w:val="007024A4"/>
    <w:rsid w:val="00704635"/>
    <w:rsid w:val="0071120A"/>
    <w:rsid w:val="0071182B"/>
    <w:rsid w:val="00712A8B"/>
    <w:rsid w:val="0071600D"/>
    <w:rsid w:val="00717F73"/>
    <w:rsid w:val="00720FDB"/>
    <w:rsid w:val="007216CC"/>
    <w:rsid w:val="0072196D"/>
    <w:rsid w:val="00721D16"/>
    <w:rsid w:val="00725B79"/>
    <w:rsid w:val="00726EAB"/>
    <w:rsid w:val="00730C08"/>
    <w:rsid w:val="00732C0A"/>
    <w:rsid w:val="00743357"/>
    <w:rsid w:val="007458DA"/>
    <w:rsid w:val="00745F88"/>
    <w:rsid w:val="00750B63"/>
    <w:rsid w:val="00752BCD"/>
    <w:rsid w:val="007532D3"/>
    <w:rsid w:val="007547F2"/>
    <w:rsid w:val="00754988"/>
    <w:rsid w:val="00755A43"/>
    <w:rsid w:val="007560E8"/>
    <w:rsid w:val="00756BE7"/>
    <w:rsid w:val="007570D2"/>
    <w:rsid w:val="00760F2F"/>
    <w:rsid w:val="00762108"/>
    <w:rsid w:val="007654A6"/>
    <w:rsid w:val="007703AE"/>
    <w:rsid w:val="007727DB"/>
    <w:rsid w:val="00777996"/>
    <w:rsid w:val="007805D3"/>
    <w:rsid w:val="007815BF"/>
    <w:rsid w:val="00781907"/>
    <w:rsid w:val="00782B32"/>
    <w:rsid w:val="00783164"/>
    <w:rsid w:val="00790A9B"/>
    <w:rsid w:val="00797B4D"/>
    <w:rsid w:val="007A2475"/>
    <w:rsid w:val="007A66D8"/>
    <w:rsid w:val="007B1442"/>
    <w:rsid w:val="007B2824"/>
    <w:rsid w:val="007B63A9"/>
    <w:rsid w:val="007C2E8C"/>
    <w:rsid w:val="007C3709"/>
    <w:rsid w:val="007C5A68"/>
    <w:rsid w:val="007C6C9A"/>
    <w:rsid w:val="007C6CC2"/>
    <w:rsid w:val="007D2826"/>
    <w:rsid w:val="007D40B5"/>
    <w:rsid w:val="007E20FF"/>
    <w:rsid w:val="007E268E"/>
    <w:rsid w:val="007E56C4"/>
    <w:rsid w:val="007F05B1"/>
    <w:rsid w:val="007F2BAD"/>
    <w:rsid w:val="007F2BB0"/>
    <w:rsid w:val="007F2F70"/>
    <w:rsid w:val="007F5392"/>
    <w:rsid w:val="007F564F"/>
    <w:rsid w:val="007F6D07"/>
    <w:rsid w:val="00800248"/>
    <w:rsid w:val="0080659F"/>
    <w:rsid w:val="00806BA9"/>
    <w:rsid w:val="00807C01"/>
    <w:rsid w:val="008114FF"/>
    <w:rsid w:val="00812E61"/>
    <w:rsid w:val="00812F8D"/>
    <w:rsid w:val="0082205A"/>
    <w:rsid w:val="008221C1"/>
    <w:rsid w:val="00822B08"/>
    <w:rsid w:val="008237E2"/>
    <w:rsid w:val="008255C4"/>
    <w:rsid w:val="008256E0"/>
    <w:rsid w:val="008258A3"/>
    <w:rsid w:val="00827D2F"/>
    <w:rsid w:val="008320E0"/>
    <w:rsid w:val="0083241C"/>
    <w:rsid w:val="0083392E"/>
    <w:rsid w:val="00840CCD"/>
    <w:rsid w:val="0084224A"/>
    <w:rsid w:val="008425BC"/>
    <w:rsid w:val="00842D09"/>
    <w:rsid w:val="008477C7"/>
    <w:rsid w:val="00850EC0"/>
    <w:rsid w:val="008548C4"/>
    <w:rsid w:val="00855C3C"/>
    <w:rsid w:val="008564F4"/>
    <w:rsid w:val="00856595"/>
    <w:rsid w:val="00856D42"/>
    <w:rsid w:val="00856DDE"/>
    <w:rsid w:val="00857C57"/>
    <w:rsid w:val="008617EE"/>
    <w:rsid w:val="00861C0F"/>
    <w:rsid w:val="00862AED"/>
    <w:rsid w:val="008709E1"/>
    <w:rsid w:val="00870EED"/>
    <w:rsid w:val="00871B61"/>
    <w:rsid w:val="00874027"/>
    <w:rsid w:val="00877373"/>
    <w:rsid w:val="008836E4"/>
    <w:rsid w:val="00885571"/>
    <w:rsid w:val="008866D7"/>
    <w:rsid w:val="00892CD6"/>
    <w:rsid w:val="00893139"/>
    <w:rsid w:val="0089388D"/>
    <w:rsid w:val="008A1445"/>
    <w:rsid w:val="008A56E0"/>
    <w:rsid w:val="008A6E1B"/>
    <w:rsid w:val="008B2295"/>
    <w:rsid w:val="008B2361"/>
    <w:rsid w:val="008B3A15"/>
    <w:rsid w:val="008B4800"/>
    <w:rsid w:val="008B5DCE"/>
    <w:rsid w:val="008C3DFA"/>
    <w:rsid w:val="008D0437"/>
    <w:rsid w:val="008D2BD4"/>
    <w:rsid w:val="008D55F0"/>
    <w:rsid w:val="008D59D3"/>
    <w:rsid w:val="008D5E40"/>
    <w:rsid w:val="008E13AD"/>
    <w:rsid w:val="008E1A8E"/>
    <w:rsid w:val="008E2971"/>
    <w:rsid w:val="008E3A9E"/>
    <w:rsid w:val="008E4841"/>
    <w:rsid w:val="008E56A0"/>
    <w:rsid w:val="008E5FF3"/>
    <w:rsid w:val="008F189C"/>
    <w:rsid w:val="00900642"/>
    <w:rsid w:val="00906DF5"/>
    <w:rsid w:val="00907906"/>
    <w:rsid w:val="00912B8C"/>
    <w:rsid w:val="009154D1"/>
    <w:rsid w:val="0091635E"/>
    <w:rsid w:val="009200C1"/>
    <w:rsid w:val="00921D43"/>
    <w:rsid w:val="0092238D"/>
    <w:rsid w:val="00922BDE"/>
    <w:rsid w:val="009239F7"/>
    <w:rsid w:val="00923E1B"/>
    <w:rsid w:val="00923EB1"/>
    <w:rsid w:val="00924197"/>
    <w:rsid w:val="009258E1"/>
    <w:rsid w:val="00926DF9"/>
    <w:rsid w:val="0093023B"/>
    <w:rsid w:val="00931572"/>
    <w:rsid w:val="00931AD4"/>
    <w:rsid w:val="00934B3E"/>
    <w:rsid w:val="00941591"/>
    <w:rsid w:val="00943789"/>
    <w:rsid w:val="0094752A"/>
    <w:rsid w:val="00947880"/>
    <w:rsid w:val="00950250"/>
    <w:rsid w:val="009509FD"/>
    <w:rsid w:val="00950A29"/>
    <w:rsid w:val="009524D1"/>
    <w:rsid w:val="009527CB"/>
    <w:rsid w:val="00955D83"/>
    <w:rsid w:val="00962839"/>
    <w:rsid w:val="0096348F"/>
    <w:rsid w:val="009662BD"/>
    <w:rsid w:val="00970735"/>
    <w:rsid w:val="00973186"/>
    <w:rsid w:val="009809DE"/>
    <w:rsid w:val="009828A7"/>
    <w:rsid w:val="00985478"/>
    <w:rsid w:val="009909D8"/>
    <w:rsid w:val="00990A46"/>
    <w:rsid w:val="00992832"/>
    <w:rsid w:val="00995E1E"/>
    <w:rsid w:val="009967C3"/>
    <w:rsid w:val="00997240"/>
    <w:rsid w:val="00997B80"/>
    <w:rsid w:val="009A0900"/>
    <w:rsid w:val="009A2B93"/>
    <w:rsid w:val="009A4170"/>
    <w:rsid w:val="009A4BF6"/>
    <w:rsid w:val="009A69CA"/>
    <w:rsid w:val="009A6AD1"/>
    <w:rsid w:val="009B1F35"/>
    <w:rsid w:val="009B3C38"/>
    <w:rsid w:val="009B5642"/>
    <w:rsid w:val="009B5814"/>
    <w:rsid w:val="009B72FD"/>
    <w:rsid w:val="009B731C"/>
    <w:rsid w:val="009C14D0"/>
    <w:rsid w:val="009C1617"/>
    <w:rsid w:val="009C2D7F"/>
    <w:rsid w:val="009D20E9"/>
    <w:rsid w:val="009D2315"/>
    <w:rsid w:val="009D3413"/>
    <w:rsid w:val="009D3954"/>
    <w:rsid w:val="009D5FC3"/>
    <w:rsid w:val="009D6D8B"/>
    <w:rsid w:val="009D7689"/>
    <w:rsid w:val="009E1BE3"/>
    <w:rsid w:val="009E6AB9"/>
    <w:rsid w:val="009E77D9"/>
    <w:rsid w:val="009F006B"/>
    <w:rsid w:val="009F3AF3"/>
    <w:rsid w:val="009F636F"/>
    <w:rsid w:val="009F711D"/>
    <w:rsid w:val="009F7DDD"/>
    <w:rsid w:val="00A01735"/>
    <w:rsid w:val="00A04724"/>
    <w:rsid w:val="00A04C36"/>
    <w:rsid w:val="00A07E6D"/>
    <w:rsid w:val="00A10F74"/>
    <w:rsid w:val="00A142ED"/>
    <w:rsid w:val="00A17B66"/>
    <w:rsid w:val="00A26065"/>
    <w:rsid w:val="00A303D6"/>
    <w:rsid w:val="00A3125E"/>
    <w:rsid w:val="00A31EF9"/>
    <w:rsid w:val="00A32629"/>
    <w:rsid w:val="00A354D8"/>
    <w:rsid w:val="00A378BB"/>
    <w:rsid w:val="00A41B25"/>
    <w:rsid w:val="00A42DF1"/>
    <w:rsid w:val="00A442C3"/>
    <w:rsid w:val="00A470A9"/>
    <w:rsid w:val="00A51B97"/>
    <w:rsid w:val="00A51E67"/>
    <w:rsid w:val="00A531CB"/>
    <w:rsid w:val="00A54EE5"/>
    <w:rsid w:val="00A55977"/>
    <w:rsid w:val="00A62A83"/>
    <w:rsid w:val="00A64843"/>
    <w:rsid w:val="00A661EF"/>
    <w:rsid w:val="00A71E49"/>
    <w:rsid w:val="00A73102"/>
    <w:rsid w:val="00A75327"/>
    <w:rsid w:val="00A75981"/>
    <w:rsid w:val="00A809CF"/>
    <w:rsid w:val="00A815A9"/>
    <w:rsid w:val="00A83A0B"/>
    <w:rsid w:val="00A85A32"/>
    <w:rsid w:val="00A93B1A"/>
    <w:rsid w:val="00A95525"/>
    <w:rsid w:val="00A96AFA"/>
    <w:rsid w:val="00A979B4"/>
    <w:rsid w:val="00AA17FF"/>
    <w:rsid w:val="00AC0A41"/>
    <w:rsid w:val="00AC20A6"/>
    <w:rsid w:val="00AC4289"/>
    <w:rsid w:val="00AC5E54"/>
    <w:rsid w:val="00AC623C"/>
    <w:rsid w:val="00AC63A2"/>
    <w:rsid w:val="00AD0088"/>
    <w:rsid w:val="00AD1BA6"/>
    <w:rsid w:val="00AD1DF4"/>
    <w:rsid w:val="00AD2E11"/>
    <w:rsid w:val="00AD360D"/>
    <w:rsid w:val="00AD5743"/>
    <w:rsid w:val="00AD604D"/>
    <w:rsid w:val="00AD72DE"/>
    <w:rsid w:val="00AE3EE9"/>
    <w:rsid w:val="00AE599C"/>
    <w:rsid w:val="00AE59BB"/>
    <w:rsid w:val="00AF0C8A"/>
    <w:rsid w:val="00AF17FF"/>
    <w:rsid w:val="00AF1B11"/>
    <w:rsid w:val="00AF204E"/>
    <w:rsid w:val="00AF22CA"/>
    <w:rsid w:val="00AF3B1F"/>
    <w:rsid w:val="00B0293E"/>
    <w:rsid w:val="00B03355"/>
    <w:rsid w:val="00B036A6"/>
    <w:rsid w:val="00B07CAB"/>
    <w:rsid w:val="00B11139"/>
    <w:rsid w:val="00B13945"/>
    <w:rsid w:val="00B144C8"/>
    <w:rsid w:val="00B159EB"/>
    <w:rsid w:val="00B202E3"/>
    <w:rsid w:val="00B204D6"/>
    <w:rsid w:val="00B20575"/>
    <w:rsid w:val="00B27265"/>
    <w:rsid w:val="00B2790D"/>
    <w:rsid w:val="00B339E5"/>
    <w:rsid w:val="00B34D67"/>
    <w:rsid w:val="00B352A7"/>
    <w:rsid w:val="00B403BD"/>
    <w:rsid w:val="00B4152A"/>
    <w:rsid w:val="00B43E17"/>
    <w:rsid w:val="00B44808"/>
    <w:rsid w:val="00B449DF"/>
    <w:rsid w:val="00B46275"/>
    <w:rsid w:val="00B46A12"/>
    <w:rsid w:val="00B516B0"/>
    <w:rsid w:val="00B52592"/>
    <w:rsid w:val="00B553DA"/>
    <w:rsid w:val="00B555E6"/>
    <w:rsid w:val="00B56062"/>
    <w:rsid w:val="00B572DA"/>
    <w:rsid w:val="00B646BF"/>
    <w:rsid w:val="00B677BF"/>
    <w:rsid w:val="00B74DC1"/>
    <w:rsid w:val="00B75497"/>
    <w:rsid w:val="00B7566B"/>
    <w:rsid w:val="00B83E6B"/>
    <w:rsid w:val="00B86584"/>
    <w:rsid w:val="00B87A9A"/>
    <w:rsid w:val="00B87E2F"/>
    <w:rsid w:val="00B913AE"/>
    <w:rsid w:val="00B95925"/>
    <w:rsid w:val="00B962B8"/>
    <w:rsid w:val="00B97945"/>
    <w:rsid w:val="00BA1D1F"/>
    <w:rsid w:val="00BA2457"/>
    <w:rsid w:val="00BA2882"/>
    <w:rsid w:val="00BA34D5"/>
    <w:rsid w:val="00BA35FD"/>
    <w:rsid w:val="00BA6C84"/>
    <w:rsid w:val="00BB002F"/>
    <w:rsid w:val="00BB00E2"/>
    <w:rsid w:val="00BB0BA6"/>
    <w:rsid w:val="00BB6F96"/>
    <w:rsid w:val="00BC0DFA"/>
    <w:rsid w:val="00BC1935"/>
    <w:rsid w:val="00BC1D0A"/>
    <w:rsid w:val="00BC5969"/>
    <w:rsid w:val="00BC604A"/>
    <w:rsid w:val="00BC739B"/>
    <w:rsid w:val="00BD1D0D"/>
    <w:rsid w:val="00BE4DC0"/>
    <w:rsid w:val="00BF093C"/>
    <w:rsid w:val="00BF1046"/>
    <w:rsid w:val="00BF2179"/>
    <w:rsid w:val="00BF2286"/>
    <w:rsid w:val="00C01068"/>
    <w:rsid w:val="00C01364"/>
    <w:rsid w:val="00C01A53"/>
    <w:rsid w:val="00C02CE5"/>
    <w:rsid w:val="00C06346"/>
    <w:rsid w:val="00C0736B"/>
    <w:rsid w:val="00C1223E"/>
    <w:rsid w:val="00C126CB"/>
    <w:rsid w:val="00C14D45"/>
    <w:rsid w:val="00C20A60"/>
    <w:rsid w:val="00C23A3D"/>
    <w:rsid w:val="00C313FB"/>
    <w:rsid w:val="00C31B74"/>
    <w:rsid w:val="00C331A8"/>
    <w:rsid w:val="00C35BC6"/>
    <w:rsid w:val="00C36514"/>
    <w:rsid w:val="00C36665"/>
    <w:rsid w:val="00C37190"/>
    <w:rsid w:val="00C372AD"/>
    <w:rsid w:val="00C430A2"/>
    <w:rsid w:val="00C442BC"/>
    <w:rsid w:val="00C458D6"/>
    <w:rsid w:val="00C47CBD"/>
    <w:rsid w:val="00C53898"/>
    <w:rsid w:val="00C545DD"/>
    <w:rsid w:val="00C55C0A"/>
    <w:rsid w:val="00C56D0A"/>
    <w:rsid w:val="00C571E6"/>
    <w:rsid w:val="00C61EE5"/>
    <w:rsid w:val="00C63EF6"/>
    <w:rsid w:val="00C70DB6"/>
    <w:rsid w:val="00C717B2"/>
    <w:rsid w:val="00C73C76"/>
    <w:rsid w:val="00C74939"/>
    <w:rsid w:val="00C7771A"/>
    <w:rsid w:val="00C82660"/>
    <w:rsid w:val="00C83B34"/>
    <w:rsid w:val="00C8466C"/>
    <w:rsid w:val="00C8512C"/>
    <w:rsid w:val="00C85DC0"/>
    <w:rsid w:val="00C87D8F"/>
    <w:rsid w:val="00C910A4"/>
    <w:rsid w:val="00C916E9"/>
    <w:rsid w:val="00C920C8"/>
    <w:rsid w:val="00C932A2"/>
    <w:rsid w:val="00C93AC2"/>
    <w:rsid w:val="00C93B0B"/>
    <w:rsid w:val="00C971C1"/>
    <w:rsid w:val="00CA0C80"/>
    <w:rsid w:val="00CA17C6"/>
    <w:rsid w:val="00CA228D"/>
    <w:rsid w:val="00CA62BB"/>
    <w:rsid w:val="00CB31EA"/>
    <w:rsid w:val="00CB7579"/>
    <w:rsid w:val="00CC14DA"/>
    <w:rsid w:val="00CC1B03"/>
    <w:rsid w:val="00CC319D"/>
    <w:rsid w:val="00CC4BDC"/>
    <w:rsid w:val="00CC510E"/>
    <w:rsid w:val="00CD0ECD"/>
    <w:rsid w:val="00CD1306"/>
    <w:rsid w:val="00CD4B0B"/>
    <w:rsid w:val="00CD6613"/>
    <w:rsid w:val="00CE0C07"/>
    <w:rsid w:val="00CE0CC1"/>
    <w:rsid w:val="00CE48EB"/>
    <w:rsid w:val="00CE60AA"/>
    <w:rsid w:val="00CF19DF"/>
    <w:rsid w:val="00CF2BA5"/>
    <w:rsid w:val="00CF327E"/>
    <w:rsid w:val="00CF3CFE"/>
    <w:rsid w:val="00CF407A"/>
    <w:rsid w:val="00CF5DC4"/>
    <w:rsid w:val="00CF7531"/>
    <w:rsid w:val="00CF7596"/>
    <w:rsid w:val="00D00913"/>
    <w:rsid w:val="00D01682"/>
    <w:rsid w:val="00D02821"/>
    <w:rsid w:val="00D05E40"/>
    <w:rsid w:val="00D10CD1"/>
    <w:rsid w:val="00D14B8F"/>
    <w:rsid w:val="00D14D6B"/>
    <w:rsid w:val="00D22997"/>
    <w:rsid w:val="00D2377A"/>
    <w:rsid w:val="00D32C9F"/>
    <w:rsid w:val="00D3334F"/>
    <w:rsid w:val="00D35DFE"/>
    <w:rsid w:val="00D36024"/>
    <w:rsid w:val="00D413F2"/>
    <w:rsid w:val="00D41D24"/>
    <w:rsid w:val="00D46AEE"/>
    <w:rsid w:val="00D51A43"/>
    <w:rsid w:val="00D53624"/>
    <w:rsid w:val="00D5511F"/>
    <w:rsid w:val="00D57251"/>
    <w:rsid w:val="00D60C8E"/>
    <w:rsid w:val="00D60CE1"/>
    <w:rsid w:val="00D631AE"/>
    <w:rsid w:val="00D63489"/>
    <w:rsid w:val="00D6382A"/>
    <w:rsid w:val="00D64827"/>
    <w:rsid w:val="00D6616E"/>
    <w:rsid w:val="00D67584"/>
    <w:rsid w:val="00D71BD7"/>
    <w:rsid w:val="00D73BAA"/>
    <w:rsid w:val="00D7481E"/>
    <w:rsid w:val="00D7518B"/>
    <w:rsid w:val="00D75C34"/>
    <w:rsid w:val="00D802DC"/>
    <w:rsid w:val="00D81BE8"/>
    <w:rsid w:val="00D81CB1"/>
    <w:rsid w:val="00D82CEB"/>
    <w:rsid w:val="00D86CCD"/>
    <w:rsid w:val="00D902F6"/>
    <w:rsid w:val="00D90D17"/>
    <w:rsid w:val="00D911CA"/>
    <w:rsid w:val="00D91C70"/>
    <w:rsid w:val="00D92296"/>
    <w:rsid w:val="00DA0B2E"/>
    <w:rsid w:val="00DA0BF4"/>
    <w:rsid w:val="00DA1C3B"/>
    <w:rsid w:val="00DA1FC8"/>
    <w:rsid w:val="00DA558B"/>
    <w:rsid w:val="00DA5B63"/>
    <w:rsid w:val="00DA6333"/>
    <w:rsid w:val="00DA722D"/>
    <w:rsid w:val="00DA7A4B"/>
    <w:rsid w:val="00DB137E"/>
    <w:rsid w:val="00DB3077"/>
    <w:rsid w:val="00DB48C4"/>
    <w:rsid w:val="00DB5C0A"/>
    <w:rsid w:val="00DB697B"/>
    <w:rsid w:val="00DB76C9"/>
    <w:rsid w:val="00DC280D"/>
    <w:rsid w:val="00DC406A"/>
    <w:rsid w:val="00DD0CFC"/>
    <w:rsid w:val="00DD24E0"/>
    <w:rsid w:val="00DD2B1E"/>
    <w:rsid w:val="00DD2EE4"/>
    <w:rsid w:val="00DD56B4"/>
    <w:rsid w:val="00DE319B"/>
    <w:rsid w:val="00DE37E1"/>
    <w:rsid w:val="00DE6FE0"/>
    <w:rsid w:val="00DF0BD9"/>
    <w:rsid w:val="00DF59D5"/>
    <w:rsid w:val="00E0086F"/>
    <w:rsid w:val="00E05951"/>
    <w:rsid w:val="00E05FB5"/>
    <w:rsid w:val="00E06955"/>
    <w:rsid w:val="00E11F2B"/>
    <w:rsid w:val="00E17A48"/>
    <w:rsid w:val="00E218DD"/>
    <w:rsid w:val="00E229AF"/>
    <w:rsid w:val="00E2790A"/>
    <w:rsid w:val="00E311EC"/>
    <w:rsid w:val="00E32675"/>
    <w:rsid w:val="00E336FC"/>
    <w:rsid w:val="00E35AF8"/>
    <w:rsid w:val="00E36919"/>
    <w:rsid w:val="00E41E85"/>
    <w:rsid w:val="00E442FA"/>
    <w:rsid w:val="00E45275"/>
    <w:rsid w:val="00E45FE5"/>
    <w:rsid w:val="00E51BFD"/>
    <w:rsid w:val="00E5600E"/>
    <w:rsid w:val="00E60052"/>
    <w:rsid w:val="00E6325F"/>
    <w:rsid w:val="00E647E0"/>
    <w:rsid w:val="00E64E1C"/>
    <w:rsid w:val="00E65B2E"/>
    <w:rsid w:val="00E6628A"/>
    <w:rsid w:val="00E6751F"/>
    <w:rsid w:val="00E7186E"/>
    <w:rsid w:val="00E74FB9"/>
    <w:rsid w:val="00E84502"/>
    <w:rsid w:val="00E87E6B"/>
    <w:rsid w:val="00E90FEA"/>
    <w:rsid w:val="00E9393F"/>
    <w:rsid w:val="00E94F17"/>
    <w:rsid w:val="00E94FEC"/>
    <w:rsid w:val="00E9645D"/>
    <w:rsid w:val="00EA338F"/>
    <w:rsid w:val="00EA35AE"/>
    <w:rsid w:val="00EA4706"/>
    <w:rsid w:val="00EB0676"/>
    <w:rsid w:val="00EB20B9"/>
    <w:rsid w:val="00EB23FC"/>
    <w:rsid w:val="00EB2B07"/>
    <w:rsid w:val="00EB6BA9"/>
    <w:rsid w:val="00EC1EE2"/>
    <w:rsid w:val="00EC25EE"/>
    <w:rsid w:val="00EC2D74"/>
    <w:rsid w:val="00EC31A2"/>
    <w:rsid w:val="00EC436D"/>
    <w:rsid w:val="00ED010F"/>
    <w:rsid w:val="00ED2743"/>
    <w:rsid w:val="00ED460D"/>
    <w:rsid w:val="00ED4F4C"/>
    <w:rsid w:val="00EE0751"/>
    <w:rsid w:val="00EF0642"/>
    <w:rsid w:val="00EF21B8"/>
    <w:rsid w:val="00EF31E3"/>
    <w:rsid w:val="00EF4F17"/>
    <w:rsid w:val="00F005CD"/>
    <w:rsid w:val="00F0134F"/>
    <w:rsid w:val="00F0285D"/>
    <w:rsid w:val="00F035EA"/>
    <w:rsid w:val="00F046B5"/>
    <w:rsid w:val="00F05DFE"/>
    <w:rsid w:val="00F06470"/>
    <w:rsid w:val="00F073BB"/>
    <w:rsid w:val="00F1118D"/>
    <w:rsid w:val="00F12578"/>
    <w:rsid w:val="00F12D94"/>
    <w:rsid w:val="00F12EAA"/>
    <w:rsid w:val="00F1312B"/>
    <w:rsid w:val="00F136D4"/>
    <w:rsid w:val="00F13B2C"/>
    <w:rsid w:val="00F145A9"/>
    <w:rsid w:val="00F20001"/>
    <w:rsid w:val="00F201F6"/>
    <w:rsid w:val="00F20364"/>
    <w:rsid w:val="00F21659"/>
    <w:rsid w:val="00F21B3C"/>
    <w:rsid w:val="00F22771"/>
    <w:rsid w:val="00F2296D"/>
    <w:rsid w:val="00F22CD5"/>
    <w:rsid w:val="00F24044"/>
    <w:rsid w:val="00F275AF"/>
    <w:rsid w:val="00F27C1C"/>
    <w:rsid w:val="00F32C37"/>
    <w:rsid w:val="00F34B82"/>
    <w:rsid w:val="00F34BC0"/>
    <w:rsid w:val="00F37409"/>
    <w:rsid w:val="00F37FE7"/>
    <w:rsid w:val="00F40D86"/>
    <w:rsid w:val="00F42A80"/>
    <w:rsid w:val="00F4553E"/>
    <w:rsid w:val="00F45B2D"/>
    <w:rsid w:val="00F52370"/>
    <w:rsid w:val="00F52E68"/>
    <w:rsid w:val="00F535D4"/>
    <w:rsid w:val="00F54EC7"/>
    <w:rsid w:val="00F55308"/>
    <w:rsid w:val="00F55730"/>
    <w:rsid w:val="00F6246E"/>
    <w:rsid w:val="00F633C4"/>
    <w:rsid w:val="00F653F5"/>
    <w:rsid w:val="00F66238"/>
    <w:rsid w:val="00F7108A"/>
    <w:rsid w:val="00F7123B"/>
    <w:rsid w:val="00F774E2"/>
    <w:rsid w:val="00F77D64"/>
    <w:rsid w:val="00F80D4B"/>
    <w:rsid w:val="00F818C3"/>
    <w:rsid w:val="00F843E9"/>
    <w:rsid w:val="00F85EFC"/>
    <w:rsid w:val="00F86BC7"/>
    <w:rsid w:val="00F86C4C"/>
    <w:rsid w:val="00F86E96"/>
    <w:rsid w:val="00F87AD0"/>
    <w:rsid w:val="00F9167C"/>
    <w:rsid w:val="00F955BF"/>
    <w:rsid w:val="00F96206"/>
    <w:rsid w:val="00FA71E9"/>
    <w:rsid w:val="00FB30DA"/>
    <w:rsid w:val="00FB498F"/>
    <w:rsid w:val="00FB7E4E"/>
    <w:rsid w:val="00FC1F6E"/>
    <w:rsid w:val="00FC25E1"/>
    <w:rsid w:val="00FC4276"/>
    <w:rsid w:val="00FC6149"/>
    <w:rsid w:val="00FC736C"/>
    <w:rsid w:val="00FD0462"/>
    <w:rsid w:val="00FD0E31"/>
    <w:rsid w:val="00FD3DDA"/>
    <w:rsid w:val="00FE3529"/>
    <w:rsid w:val="00FE4831"/>
    <w:rsid w:val="00FE5CBB"/>
    <w:rsid w:val="00FE7E90"/>
    <w:rsid w:val="00FF3192"/>
    <w:rsid w:val="00FF6E4E"/>
    <w:rsid w:val="252C6FF6"/>
    <w:rsid w:val="30DE6C32"/>
    <w:rsid w:val="3F61318D"/>
    <w:rsid w:val="639F3A33"/>
    <w:rsid w:val="7B3D7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FB705"/>
  <w15:docId w15:val="{1024BA0E-EF38-42D6-95BA-48093669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uiPriority w:val="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1"/>
    <w:next w:val="a1"/>
    <w:uiPriority w:val="9"/>
    <w:unhideWhenUsed/>
    <w:qFormat/>
    <w:pPr>
      <w:spacing w:beforeAutospacing="1" w:afterAutospacing="1"/>
      <w:jc w:val="left"/>
      <w:outlineLvl w:val="3"/>
    </w:pPr>
    <w:rPr>
      <w:rFonts w:ascii="宋体" w:eastAsia="宋体" w:hAnsi="宋体" w:cs="Times New Roman" w:hint="eastAsia"/>
      <w:b/>
      <w:bCs/>
      <w:kern w:val="0"/>
      <w:sz w:val="24"/>
      <w:szCs w:val="24"/>
    </w:rPr>
  </w:style>
  <w:style w:type="paragraph" w:styleId="6">
    <w:name w:val="heading 6"/>
    <w:basedOn w:val="a1"/>
    <w:next w:val="a1"/>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uiPriority w:val="35"/>
    <w:unhideWhenUsed/>
    <w:qFormat/>
    <w:rPr>
      <w:rFonts w:asciiTheme="majorHAnsi" w:eastAsia="黑体" w:hAnsiTheme="majorHAnsi" w:cstheme="majorBidi"/>
      <w:sz w:val="20"/>
      <w:szCs w:val="20"/>
    </w:rPr>
  </w:style>
  <w:style w:type="paragraph" w:styleId="a6">
    <w:name w:val="annotation text"/>
    <w:basedOn w:val="a1"/>
    <w:link w:val="a7"/>
    <w:uiPriority w:val="99"/>
    <w:unhideWhenUsed/>
    <w:qFormat/>
    <w:pPr>
      <w:jc w:val="left"/>
    </w:pPr>
  </w:style>
  <w:style w:type="paragraph" w:styleId="a8">
    <w:name w:val="Balloon Text"/>
    <w:basedOn w:val="a1"/>
    <w:link w:val="a9"/>
    <w:uiPriority w:val="99"/>
    <w:semiHidden/>
    <w:unhideWhenUsed/>
    <w:qFormat/>
    <w:rPr>
      <w:sz w:val="18"/>
      <w:szCs w:val="18"/>
    </w:rPr>
  </w:style>
  <w:style w:type="paragraph" w:styleId="aa">
    <w:name w:val="footer"/>
    <w:basedOn w:val="a1"/>
    <w:link w:val="ab"/>
    <w:unhideWhenUsed/>
    <w:qFormat/>
    <w:pPr>
      <w:tabs>
        <w:tab w:val="center" w:pos="4153"/>
        <w:tab w:val="right" w:pos="8306"/>
      </w:tabs>
      <w:snapToGrid w:val="0"/>
      <w:jc w:val="left"/>
    </w:pPr>
    <w:rPr>
      <w:sz w:val="18"/>
      <w:szCs w:val="18"/>
    </w:rPr>
  </w:style>
  <w:style w:type="paragraph" w:styleId="ac">
    <w:name w:val="header"/>
    <w:basedOn w:val="a1"/>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1"/>
    <w:link w:val="af"/>
    <w:uiPriority w:val="99"/>
    <w:unhideWhenUsed/>
    <w:qFormat/>
    <w:pPr>
      <w:snapToGrid w:val="0"/>
      <w:jc w:val="left"/>
    </w:pPr>
    <w:rPr>
      <w:sz w:val="18"/>
      <w:szCs w:val="18"/>
    </w:rPr>
  </w:style>
  <w:style w:type="paragraph" w:styleId="af0">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6"/>
    <w:next w:val="a6"/>
    <w:link w:val="af2"/>
    <w:uiPriority w:val="99"/>
    <w:semiHidden/>
    <w:unhideWhenUsed/>
    <w:qFormat/>
    <w:rPr>
      <w:b/>
      <w:bCs/>
    </w:rPr>
  </w:style>
  <w:style w:type="table" w:styleId="af3">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2"/>
    <w:uiPriority w:val="22"/>
    <w:qFormat/>
    <w:rPr>
      <w:b/>
    </w:rPr>
  </w:style>
  <w:style w:type="character" w:styleId="af5">
    <w:name w:val="page number"/>
    <w:basedOn w:val="a2"/>
    <w:qFormat/>
  </w:style>
  <w:style w:type="character" w:styleId="af6">
    <w:name w:val="Hyperlink"/>
    <w:basedOn w:val="a2"/>
    <w:uiPriority w:val="99"/>
    <w:semiHidden/>
    <w:unhideWhenUsed/>
    <w:qFormat/>
    <w:rPr>
      <w:color w:val="0000FF"/>
      <w:u w:val="single"/>
    </w:rPr>
  </w:style>
  <w:style w:type="character" w:styleId="af7">
    <w:name w:val="annotation reference"/>
    <w:basedOn w:val="a2"/>
    <w:uiPriority w:val="99"/>
    <w:semiHidden/>
    <w:unhideWhenUsed/>
    <w:qFormat/>
    <w:rPr>
      <w:sz w:val="21"/>
      <w:szCs w:val="21"/>
    </w:rPr>
  </w:style>
  <w:style w:type="character" w:styleId="af8">
    <w:name w:val="footnote reference"/>
    <w:basedOn w:val="a2"/>
    <w:uiPriority w:val="99"/>
    <w:semiHidden/>
    <w:unhideWhenUsed/>
    <w:qFormat/>
    <w:rPr>
      <w:vertAlign w:val="superscript"/>
    </w:rPr>
  </w:style>
  <w:style w:type="paragraph" w:styleId="af9">
    <w:name w:val="List Paragraph"/>
    <w:basedOn w:val="a1"/>
    <w:uiPriority w:val="34"/>
    <w:qFormat/>
    <w:pPr>
      <w:ind w:firstLineChars="200" w:firstLine="420"/>
    </w:pPr>
  </w:style>
  <w:style w:type="paragraph" w:customStyle="1" w:styleId="11">
    <w:name w:val="样式1"/>
    <w:basedOn w:val="a1"/>
    <w:link w:val="1Char"/>
    <w:qFormat/>
    <w:pPr>
      <w:snapToGrid w:val="0"/>
      <w:ind w:firstLineChars="200" w:firstLine="800"/>
      <w:jc w:val="left"/>
    </w:pPr>
    <w:rPr>
      <w:rFonts w:ascii="微软雅黑" w:eastAsia="微软雅黑" w:hAnsi="微软雅黑" w:cs="Times New Roman"/>
      <w:b/>
      <w:i/>
      <w:color w:val="4BACC6"/>
      <w:sz w:val="40"/>
      <w:szCs w:val="28"/>
    </w:rPr>
  </w:style>
  <w:style w:type="character" w:customStyle="1" w:styleId="1Char">
    <w:name w:val="样式1 Char"/>
    <w:basedOn w:val="a2"/>
    <w:link w:val="11"/>
    <w:qFormat/>
    <w:rPr>
      <w:rFonts w:ascii="微软雅黑" w:eastAsia="微软雅黑" w:hAnsi="微软雅黑" w:cs="Times New Roman"/>
      <w:b/>
      <w:i/>
      <w:color w:val="4BACC6"/>
      <w:sz w:val="40"/>
      <w:szCs w:val="28"/>
    </w:rPr>
  </w:style>
  <w:style w:type="character" w:customStyle="1" w:styleId="ad">
    <w:name w:val="页眉 字符"/>
    <w:basedOn w:val="a2"/>
    <w:link w:val="ac"/>
    <w:uiPriority w:val="99"/>
    <w:qFormat/>
    <w:rPr>
      <w:sz w:val="18"/>
      <w:szCs w:val="18"/>
    </w:rPr>
  </w:style>
  <w:style w:type="character" w:customStyle="1" w:styleId="ab">
    <w:name w:val="页脚 字符"/>
    <w:basedOn w:val="a2"/>
    <w:link w:val="aa"/>
    <w:uiPriority w:val="99"/>
    <w:qFormat/>
    <w:rPr>
      <w:sz w:val="18"/>
      <w:szCs w:val="18"/>
    </w:rPr>
  </w:style>
  <w:style w:type="character" w:customStyle="1" w:styleId="a9">
    <w:name w:val="批注框文本 字符"/>
    <w:basedOn w:val="a2"/>
    <w:link w:val="a8"/>
    <w:uiPriority w:val="99"/>
    <w:semiHidden/>
    <w:qFormat/>
    <w:rPr>
      <w:sz w:val="18"/>
      <w:szCs w:val="18"/>
    </w:rPr>
  </w:style>
  <w:style w:type="character" w:customStyle="1" w:styleId="a7">
    <w:name w:val="批注文字 字符"/>
    <w:basedOn w:val="a2"/>
    <w:link w:val="a6"/>
    <w:uiPriority w:val="99"/>
    <w:qFormat/>
  </w:style>
  <w:style w:type="character" w:customStyle="1" w:styleId="af2">
    <w:name w:val="批注主题 字符"/>
    <w:basedOn w:val="a7"/>
    <w:link w:val="af1"/>
    <w:uiPriority w:val="99"/>
    <w:semiHidden/>
    <w:qFormat/>
    <w:rPr>
      <w:b/>
      <w:bCs/>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2"/>
    <w:link w:val="1"/>
    <w:uiPriority w:val="9"/>
    <w:qFormat/>
    <w:rPr>
      <w:b/>
      <w:bCs/>
      <w:kern w:val="44"/>
      <w:sz w:val="44"/>
      <w:szCs w:val="44"/>
    </w:rPr>
  </w:style>
  <w:style w:type="character" w:customStyle="1" w:styleId="af">
    <w:name w:val="脚注文本 字符"/>
    <w:basedOn w:val="a2"/>
    <w:link w:val="ae"/>
    <w:uiPriority w:val="99"/>
    <w:qFormat/>
    <w:rPr>
      <w:sz w:val="18"/>
      <w:szCs w:val="18"/>
    </w:rPr>
  </w:style>
  <w:style w:type="character" w:customStyle="1" w:styleId="30">
    <w:name w:val="标题 3 字符"/>
    <w:basedOn w:val="a2"/>
    <w:link w:val="3"/>
    <w:uiPriority w:val="9"/>
    <w:semiHidden/>
    <w:qFormat/>
    <w:rPr>
      <w:b/>
      <w:bCs/>
      <w:sz w:val="32"/>
      <w:szCs w:val="32"/>
    </w:rPr>
  </w:style>
  <w:style w:type="character" w:customStyle="1" w:styleId="apple-converted-space">
    <w:name w:val="apple-converted-space"/>
    <w:basedOn w:val="a2"/>
    <w:qFormat/>
  </w:style>
  <w:style w:type="character" w:customStyle="1" w:styleId="60">
    <w:name w:val="标题 6 字符"/>
    <w:basedOn w:val="a2"/>
    <w:link w:val="6"/>
    <w:uiPriority w:val="9"/>
    <w:qFormat/>
    <w:rPr>
      <w:rFonts w:asciiTheme="majorHAnsi" w:eastAsiaTheme="majorEastAsia" w:hAnsiTheme="majorHAnsi" w:cstheme="majorBidi"/>
      <w:b/>
      <w:bCs/>
      <w:sz w:val="24"/>
      <w:szCs w:val="24"/>
    </w:rPr>
  </w:style>
  <w:style w:type="character" w:customStyle="1" w:styleId="20">
    <w:name w:val="标题 2 字符"/>
    <w:basedOn w:val="a2"/>
    <w:link w:val="2"/>
    <w:uiPriority w:val="9"/>
    <w:qFormat/>
    <w:rPr>
      <w:rFonts w:asciiTheme="majorHAnsi" w:eastAsiaTheme="majorEastAsia" w:hAnsiTheme="majorHAnsi" w:cstheme="majorBidi"/>
      <w:b/>
      <w:bCs/>
      <w:sz w:val="32"/>
      <w:szCs w:val="32"/>
    </w:rPr>
  </w:style>
  <w:style w:type="paragraph" w:customStyle="1" w:styleId="a">
    <w:name w:val="第一章"/>
    <w:basedOn w:val="1"/>
    <w:qFormat/>
    <w:pPr>
      <w:numPr>
        <w:numId w:val="1"/>
      </w:numPr>
      <w:spacing w:before="0" w:after="0" w:line="360" w:lineRule="auto"/>
    </w:pPr>
    <w:rPr>
      <w:rFonts w:ascii="宋体" w:eastAsia="宋体" w:hAnsi="宋体"/>
      <w:sz w:val="28"/>
      <w:szCs w:val="28"/>
    </w:rPr>
  </w:style>
  <w:style w:type="paragraph" w:customStyle="1" w:styleId="a0">
    <w:name w:val="第一节"/>
    <w:basedOn w:val="2"/>
    <w:qFormat/>
    <w:pPr>
      <w:numPr>
        <w:numId w:val="2"/>
      </w:numPr>
      <w:spacing w:after="0"/>
    </w:pPr>
    <w:rPr>
      <w:rFonts w:ascii="宋体" w:eastAsia="宋体" w:hAnsi="宋体"/>
      <w:sz w:val="24"/>
      <w:szCs w:val="24"/>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styleId="afa">
    <w:name w:val="Revision"/>
    <w:hidden/>
    <w:uiPriority w:val="99"/>
    <w:unhideWhenUsed/>
    <w:rsid w:val="005C0E3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88988-1E4A-4E13-84B0-58A161CF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842</Words>
  <Characters>4803</Characters>
  <Application>Microsoft Office Word</Application>
  <DocSecurity>0</DocSecurity>
  <Lines>40</Lines>
  <Paragraphs>11</Paragraphs>
  <ScaleCrop>false</ScaleCrop>
  <Company>Hewlett-Packard Company</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bixi</dc:creator>
  <cp:lastModifiedBy>8615208321757</cp:lastModifiedBy>
  <cp:revision>2</cp:revision>
  <cp:lastPrinted>2020-03-24T06:28:00Z</cp:lastPrinted>
  <dcterms:created xsi:type="dcterms:W3CDTF">2025-12-30T03:09:00Z</dcterms:created>
  <dcterms:modified xsi:type="dcterms:W3CDTF">2025-12-30T03:09:00Z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eyJoZGlkIjoiOWIxZWU2ODlhNmVmM2EzZjMxMzQzMDY0MDU3YzQ4MGMiLCJ1c2VySWQiOiI1ODAxMzIyNjUifQ==</vt:lpwstr>
  </property>
  <property fmtid="{D5CDD505-2E9C-101B-9397-08002B2CF9AE}" pid="3" name="KSOProductBuildVer">
    <vt:lpwstr>2052-12.1.0.22529</vt:lpwstr>
  </property>
  <property fmtid="{D5CDD505-2E9C-101B-9397-08002B2CF9AE}" pid="4" name="ICV">
    <vt:lpwstr>0426CA39A605493492448EA61680E103_12</vt:lpwstr>
  </property>
</Properties>
</file>