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D48BE"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附件1</w:t>
      </w:r>
      <w:bookmarkStart w:id="0" w:name="_GoBack"/>
      <w:bookmarkEnd w:id="0"/>
      <w:r>
        <w:rPr>
          <w:rStyle w:val="8"/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 xml:space="preserve"> </w:t>
      </w:r>
    </w:p>
    <w:p w14:paraId="7217442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试卷检查内容与标准</w:t>
      </w:r>
    </w:p>
    <w:tbl>
      <w:tblPr>
        <w:tblStyle w:val="5"/>
        <w:tblW w:w="10245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45"/>
        <w:gridCol w:w="6855"/>
      </w:tblGrid>
      <w:tr w14:paraId="152A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0B098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要点</w:t>
            </w:r>
          </w:p>
        </w:tc>
        <w:tc>
          <w:tcPr>
            <w:tcW w:w="1845" w:type="dxa"/>
            <w:vAlign w:val="center"/>
          </w:tcPr>
          <w:p w14:paraId="349E6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6855" w:type="dxa"/>
            <w:vAlign w:val="center"/>
          </w:tcPr>
          <w:p w14:paraId="63913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具体说明</w:t>
            </w:r>
          </w:p>
        </w:tc>
      </w:tr>
      <w:tr w14:paraId="38EC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vAlign w:val="center"/>
          </w:tcPr>
          <w:p w14:paraId="570E6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命题分析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1845" w:type="dxa"/>
            <w:vAlign w:val="center"/>
          </w:tcPr>
          <w:p w14:paraId="78DA4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、教材、大纲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契合度</w:t>
            </w:r>
          </w:p>
          <w:p w14:paraId="14465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855" w:type="dxa"/>
            <w:vAlign w:val="center"/>
          </w:tcPr>
          <w:p w14:paraId="3A255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考查内容需全面覆盖对应学段、学科的核心知识点、能力点，避免知识盲区或过度侧重某一模块，确保知识覆盖面≥85%。</w:t>
            </w:r>
          </w:p>
          <w:p w14:paraId="0EA8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试题内容需贴合学生认知水平与生活实际，既能检验基础知识掌握程度，又能考查知识迁移、综合应用能力，杜绝偏题、怪题。</w:t>
            </w:r>
          </w:p>
          <w:p w14:paraId="66814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3.严格遵循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国家课程标准或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教学大纲要求，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明确各知识点的考查层级（了解、理解、掌握、运用），考查层级分布需与大纲规定的教学目标相匹配。</w:t>
            </w:r>
          </w:p>
          <w:p w14:paraId="46321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注重学科素养渗透，如逻辑思维、创新意识、实践能力等，体现学科育人价值。</w:t>
            </w:r>
          </w:p>
        </w:tc>
      </w:tr>
      <w:tr w14:paraId="70B6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center"/>
          </w:tcPr>
          <w:p w14:paraId="76C9C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3AB77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题量合理性</w:t>
            </w:r>
          </w:p>
          <w:p w14:paraId="55B8C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855" w:type="dxa"/>
            <w:vAlign w:val="center"/>
          </w:tcPr>
          <w:p w14:paraId="5278C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依据考试时长、学生平均答题速度设定题量，确保90%以上的学生能在规定时间内完成答题。</w:t>
            </w:r>
          </w:p>
          <w:p w14:paraId="4C05C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各类题型的题量分配需与考查目标相适应，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基础题、中档题、难题，兼顾不同层次学生的水平区分。</w:t>
            </w:r>
          </w:p>
        </w:tc>
      </w:tr>
      <w:tr w14:paraId="4D5C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center"/>
          </w:tcPr>
          <w:p w14:paraId="0A896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749EC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题型合理性</w:t>
            </w:r>
          </w:p>
          <w:p w14:paraId="7E3CD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855" w:type="dxa"/>
            <w:vAlign w:val="center"/>
          </w:tcPr>
          <w:p w14:paraId="2B427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题型需多样化，涵盖选择题、填空题、简答题、计算题、应用题、论述题、实验探究题等，全面考查学生的记忆、理解、分析、综合、评价等能力。</w:t>
            </w:r>
          </w:p>
          <w:p w14:paraId="72C72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不同题型的功能定位清晰：客观题侧重考查基础知识的识记与辨析；主观题侧重考查思维深度与表达能力；实验探究题侧重考查实践操作与科学探究能力。</w:t>
            </w:r>
          </w:p>
          <w:p w14:paraId="466C0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题型设置需符合学科特点，如理科侧重实验与计算类题型，文科侧重论述与材料分析类题型。</w:t>
            </w:r>
          </w:p>
        </w:tc>
      </w:tr>
      <w:tr w14:paraId="45FE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vAlign w:val="center"/>
          </w:tcPr>
          <w:p w14:paraId="619E1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阅卷情况分析</w:t>
            </w:r>
          </w:p>
          <w:p w14:paraId="2193B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（35分）</w:t>
            </w:r>
          </w:p>
        </w:tc>
        <w:tc>
          <w:tcPr>
            <w:tcW w:w="1845" w:type="dxa"/>
            <w:vAlign w:val="center"/>
          </w:tcPr>
          <w:p w14:paraId="6BD25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阅卷规范性</w:t>
            </w:r>
          </w:p>
          <w:p w14:paraId="4499B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6855" w:type="dxa"/>
            <w:vAlign w:val="center"/>
          </w:tcPr>
          <w:p w14:paraId="70488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检查是否成立专门阅卷小组，明确阅卷负责人、题组阅卷教师分工。</w:t>
            </w:r>
          </w:p>
          <w:p w14:paraId="1A45E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阅卷过程中是否严格执行评分细则，有无随意扣分、给分现象；复查机制是否健全，是否对满分卷、零分卷、高分卷、低分卷进行重点复核。</w:t>
            </w:r>
          </w:p>
        </w:tc>
      </w:tr>
      <w:tr w14:paraId="2C36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center"/>
          </w:tcPr>
          <w:p w14:paraId="409F6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59891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评分细则完备性</w:t>
            </w:r>
          </w:p>
          <w:p w14:paraId="0CBBF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855" w:type="dxa"/>
            <w:vAlign w:val="center"/>
          </w:tcPr>
          <w:p w14:paraId="1B034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评分细则是否具体、可操作，对主观题需明确采分点、分值分配、扣分标准，对开放性试题需制定合理的分层评分标准，兼顾答案的规范性与创新性。</w:t>
            </w:r>
          </w:p>
          <w:p w14:paraId="03B70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评分细则是否针对易混淆点、易错点作出明确说明，减少因理解偏差导致的评分误差。</w:t>
            </w:r>
          </w:p>
        </w:tc>
      </w:tr>
      <w:tr w14:paraId="459B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center"/>
          </w:tcPr>
          <w:p w14:paraId="69F2E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3293F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材料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完整性</w:t>
            </w:r>
          </w:p>
          <w:p w14:paraId="1D396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855" w:type="dxa"/>
            <w:vAlign w:val="center"/>
          </w:tcPr>
          <w:p w14:paraId="6485A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1.期末试卷、评分标准、答题卷、原始成绩是否完整。</w:t>
            </w:r>
          </w:p>
          <w:p w14:paraId="0ADEE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阅卷过程中的评分记录、复核记录、争议题处理记录是否完整留存，便于后续复盘与核查。</w:t>
            </w:r>
          </w:p>
        </w:tc>
      </w:tr>
      <w:tr w14:paraId="1F0F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vAlign w:val="center"/>
          </w:tcPr>
          <w:p w14:paraId="3C31E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成绩分析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（35分）</w:t>
            </w:r>
          </w:p>
        </w:tc>
        <w:tc>
          <w:tcPr>
            <w:tcW w:w="1845" w:type="dxa"/>
            <w:vAlign w:val="center"/>
          </w:tcPr>
          <w:p w14:paraId="3D0A5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区分度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855" w:type="dxa"/>
            <w:vAlign w:val="center"/>
          </w:tcPr>
          <w:p w14:paraId="0C256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计算方法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采用极端分组法，将学生成绩从高到低排序，取前27%为高分组，后27%为低分组。区分度指数（D）=高分组某题通过率-低分组某题通过率。</w:t>
            </w:r>
          </w:p>
          <w:p w14:paraId="0031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评价标准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1770E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D≥0.4：区分度优秀，试题能有效鉴别不同层次学生水平；</w:t>
            </w:r>
          </w:p>
          <w:p w14:paraId="315DE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0.3≤D＜0.4：区分度良好，试题鉴别能力较强；</w:t>
            </w:r>
          </w:p>
          <w:p w14:paraId="7D937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0.2≤D＜0.3：区分度一般，需改进试题；</w:t>
            </w:r>
          </w:p>
          <w:p w14:paraId="20958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D＜0.2：区分度差，该题需淘汰或重新修订。</w:t>
            </w:r>
          </w:p>
          <w:p w14:paraId="319A2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整体要求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整卷区分度指数需保持在0.3-0.4之间，确保试卷既能考查学生的真实水平，又能实现合理分层</w:t>
            </w:r>
          </w:p>
        </w:tc>
      </w:tr>
      <w:tr w14:paraId="0CD9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center"/>
          </w:tcPr>
          <w:p w14:paraId="5D5A9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2D83B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挑战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855" w:type="dxa"/>
            <w:vAlign w:val="center"/>
          </w:tcPr>
          <w:p w14:paraId="78FF7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遵循分层递进原则：基础题（约60%）挑战度定位为“巩固基础”，确保多数学生能完成；中档题（约30%）挑战度定位为“拓展应用”，需要学生整合知识、分析问题；难题（约10%）挑战度定位为“创新探究”，要求学生突破常规思维、进行综合研判。</w:t>
            </w:r>
          </w:p>
          <w:p w14:paraId="518B4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主观题的挑战度需配套明确的评分标准，按思维层级划分采分点（如“观点明确1分、论据充分2分、逻辑清晰2分”），确保挑战度的评价公平可测。</w:t>
            </w:r>
          </w:p>
        </w:tc>
      </w:tr>
      <w:tr w14:paraId="7A35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vAlign w:val="center"/>
          </w:tcPr>
          <w:p w14:paraId="573B7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6547F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正态分布</w:t>
            </w:r>
          </w:p>
          <w:p w14:paraId="47AD6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6855" w:type="dxa"/>
            <w:vAlign w:val="center"/>
          </w:tcPr>
          <w:p w14:paraId="36889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指学生成绩呈现“中间多、两头少”的分布形态，反映成绩的合理性与试卷的区分功能。</w:t>
            </w:r>
          </w:p>
        </w:tc>
      </w:tr>
    </w:tbl>
    <w:p w14:paraId="1B457E36">
      <w:pPr>
        <w:rPr>
          <w:rFonts w:hint="default"/>
          <w:lang w:val="en-US" w:eastAsia="zh-CN"/>
        </w:rPr>
      </w:pPr>
    </w:p>
    <w:p w14:paraId="3F9F2075"/>
    <w:p w14:paraId="497D1DC3"/>
    <w:p w14:paraId="7FA3C104"/>
    <w:p w14:paraId="52251AD2"/>
    <w:p w14:paraId="08082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acd wne:acdName="acd0"/>
    </wne:keymap>
    <wne:keymap wne:kcmPrimary="0171">
      <wne:acd wne:acdName="acd1"/>
    </wne:keymap>
  </wne:keymaps>
  <wne:acds>
    <wne:acd wne:argValue="AQAAAAEA" wne:acdName="acd0" wne:fciIndexBasedOn="0065"/>
    <wne:acd wne:argValue="AQAAAAI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737F"/>
    <w:rsid w:val="37BF5697"/>
    <w:rsid w:val="390A0BCC"/>
    <w:rsid w:val="44F34BD2"/>
    <w:rsid w:val="6C43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7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方正小标宋简体" w:cs="宋体"/>
      <w:bCs/>
      <w:color w:val="000000"/>
      <w:kern w:val="2"/>
      <w:sz w:val="36"/>
      <w:szCs w:val="48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leftChars="200"/>
      <w:jc w:val="both"/>
      <w:outlineLvl w:val="1"/>
    </w:pPr>
    <w:rPr>
      <w:rFonts w:ascii="Arial" w:hAnsi="Arial" w:eastAsia="黑体" w:cs="Arial"/>
      <w:color w:val="000000"/>
      <w:sz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hint="eastAsia" w:ascii="宋体" w:hAnsi="宋体" w:eastAsia="方正小标宋简体" w:cs="宋体"/>
      <w:bCs/>
      <w:color w:val="000000"/>
      <w:kern w:val="2"/>
      <w:sz w:val="36"/>
      <w:szCs w:val="48"/>
      <w:lang w:bidi="ar"/>
    </w:rPr>
  </w:style>
  <w:style w:type="character" w:customStyle="1" w:styleId="8">
    <w:name w:val="标题 2 Char"/>
    <w:link w:val="3"/>
    <w:qFormat/>
    <w:uiPriority w:val="0"/>
    <w:rPr>
      <w:rFonts w:ascii="Arial" w:hAnsi="Arial" w:eastAsia="黑体" w:cs="Arial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2025-07-10T06:55:00Z</dcterms:created>
  <dc:creator>lx</dc:creator>
  <cp:lastModifiedBy>齐佳</cp:lastModifiedBy>
  <dcterms:modified xsi:type="dcterms:W3CDTF">2026-01-16T02:20:39Z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9D29B72835AD42E78EC2A23E95AD5DC7_12</vt:lpwstr>
  </property>
  <property fmtid="{D5CDD505-2E9C-101B-9397-08002B2CF9AE}" pid="4" name="KSOTemplateDocerSaveRecord">
    <vt:lpwstr>eyJoZGlkIjoiY2RmODQyMDJmNWY4YTI2MTY3NWJjZmFmYzdlOWMyNDMiLCJ1c2VySWQiOiI4MTk4Mzg4NDAifQ==</vt:lpwstr>
  </property>
</Properties>
</file>