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黑体" w:hAnsi="黑体" w:eastAsia="黑体" w:cs="黑体"/>
          <w:b/>
          <w:bCs/>
          <w:i w:val="0"/>
          <w:iCs w:val="0"/>
          <w:caps w:val="0"/>
          <w:color w:val="auto"/>
          <w:spacing w:val="8"/>
          <w:sz w:val="32"/>
          <w:szCs w:val="32"/>
          <w:shd w:val="clear" w:fill="FFFFFF"/>
          <w:lang w:val="en-US" w:eastAsia="zh-CN"/>
        </w:rPr>
      </w:pPr>
      <w:r>
        <w:rPr>
          <w:rFonts w:hint="eastAsia" w:ascii="黑体" w:hAnsi="黑体" w:eastAsia="黑体" w:cs="黑体"/>
          <w:b/>
          <w:bCs/>
          <w:i w:val="0"/>
          <w:iCs w:val="0"/>
          <w:caps w:val="0"/>
          <w:color w:val="auto"/>
          <w:spacing w:val="8"/>
          <w:sz w:val="32"/>
          <w:szCs w:val="32"/>
          <w:shd w:val="clear" w:fill="FFFFFF"/>
          <w:lang w:val="en-US" w:eastAsia="zh-CN"/>
        </w:rPr>
        <w:t>会计学院开展第十届“东方财富杯”全国大学生金融精英挑战赛校级选拔赛的通知</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i w:val="0"/>
          <w:iCs w:val="0"/>
          <w:caps w:val="0"/>
          <w:color w:val="auto"/>
          <w:spacing w:val="8"/>
          <w:sz w:val="28"/>
          <w:szCs w:val="28"/>
          <w:shd w:val="clear" w:fill="FFFFFF"/>
        </w:rPr>
      </w:pP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eastAsia="zh-CN"/>
        </w:rPr>
      </w:pPr>
      <w:r>
        <w:rPr>
          <w:rFonts w:hint="eastAsia" w:ascii="宋体" w:hAnsi="宋体" w:eastAsia="宋体" w:cs="宋体"/>
          <w:i w:val="0"/>
          <w:iCs w:val="0"/>
          <w:caps w:val="0"/>
          <w:color w:val="auto"/>
          <w:spacing w:val="8"/>
          <w:sz w:val="28"/>
          <w:szCs w:val="28"/>
          <w:shd w:val="clear" w:fill="FFFFFF"/>
        </w:rPr>
        <w:t>为深入学习宣传贯彻习近平新时代中国特色社会主义思想和党的二十大精神，全面贯彻落实习近平总书记关于青年工作的重要思想，加强对大学生的金融实践教育，助力职业发展，帮助大学生</w:t>
      </w:r>
      <w:r>
        <w:rPr>
          <w:rFonts w:hint="eastAsia" w:ascii="宋体" w:hAnsi="宋体" w:eastAsia="宋体" w:cs="宋体"/>
          <w:i w:val="0"/>
          <w:iCs w:val="0"/>
          <w:caps w:val="0"/>
          <w:color w:val="auto"/>
          <w:spacing w:val="8"/>
          <w:sz w:val="28"/>
          <w:szCs w:val="28"/>
          <w:bdr w:val="none" w:color="auto" w:sz="0" w:space="0"/>
          <w:shd w:val="clear" w:fill="FFFFFF"/>
        </w:rPr>
        <w:t>掌握金融知识，培养投资实践能力，完善就业创业素质，提高社会化能力</w:t>
      </w:r>
      <w:r>
        <w:rPr>
          <w:rFonts w:hint="eastAsia" w:ascii="宋体" w:hAnsi="宋体" w:eastAsia="宋体" w:cs="宋体"/>
          <w:i w:val="0"/>
          <w:iCs w:val="0"/>
          <w:caps w:val="0"/>
          <w:color w:val="auto"/>
          <w:spacing w:val="8"/>
          <w:sz w:val="28"/>
          <w:szCs w:val="28"/>
          <w:bdr w:val="none" w:color="auto" w:sz="0" w:space="0"/>
          <w:shd w:val="clear" w:fill="FFFFFF"/>
        </w:rPr>
        <w:t>，</w:t>
      </w:r>
      <w:r>
        <w:rPr>
          <w:rFonts w:hint="eastAsia" w:ascii="宋体" w:hAnsi="宋体" w:eastAsia="宋体" w:cs="宋体"/>
          <w:i w:val="0"/>
          <w:iCs w:val="0"/>
          <w:caps w:val="0"/>
          <w:color w:val="auto"/>
          <w:spacing w:val="8"/>
          <w:sz w:val="28"/>
          <w:szCs w:val="28"/>
          <w:shd w:val="clear" w:fill="FFFFFF"/>
        </w:rPr>
        <w:t>按照“东方财富杯”全国大学生金融素养提升活动安排，我</w:t>
      </w:r>
      <w:r>
        <w:rPr>
          <w:rFonts w:hint="eastAsia" w:ascii="宋体" w:hAnsi="宋体" w:eastAsia="宋体" w:cs="宋体"/>
          <w:i w:val="0"/>
          <w:iCs w:val="0"/>
          <w:caps w:val="0"/>
          <w:color w:val="auto"/>
          <w:spacing w:val="8"/>
          <w:sz w:val="28"/>
          <w:szCs w:val="28"/>
          <w:shd w:val="clear" w:fill="FFFFFF"/>
          <w:lang w:eastAsia="zh-CN"/>
        </w:rPr>
        <w:t>院</w:t>
      </w:r>
      <w:r>
        <w:rPr>
          <w:rFonts w:hint="eastAsia" w:ascii="宋体" w:hAnsi="宋体" w:eastAsia="宋体" w:cs="宋体"/>
          <w:i w:val="0"/>
          <w:iCs w:val="0"/>
          <w:caps w:val="0"/>
          <w:color w:val="auto"/>
          <w:spacing w:val="8"/>
          <w:sz w:val="28"/>
          <w:szCs w:val="28"/>
          <w:shd w:val="clear" w:fill="FFFFFF"/>
        </w:rPr>
        <w:t>特此举办第十届“东方财富杯”全国大学生金融挑战赛。</w:t>
      </w:r>
      <w:r>
        <w:rPr>
          <w:rFonts w:hint="eastAsia" w:ascii="宋体" w:hAnsi="宋体" w:eastAsia="宋体" w:cs="宋体"/>
          <w:i w:val="0"/>
          <w:iCs w:val="0"/>
          <w:caps w:val="0"/>
          <w:color w:val="auto"/>
          <w:spacing w:val="8"/>
          <w:sz w:val="28"/>
          <w:szCs w:val="28"/>
          <w:shd w:val="clear" w:fill="FFFFFF"/>
          <w:lang w:eastAsia="zh-CN"/>
        </w:rPr>
        <w:t>现将大赛具体事项通知如下：</w:t>
      </w:r>
    </w:p>
    <w:p>
      <w:pPr>
        <w:keepNext w:val="0"/>
        <w:keepLines w:val="0"/>
        <w:pageBreakBefore w:val="0"/>
        <w:numPr>
          <w:ilvl w:val="0"/>
          <w:numId w:val="1"/>
        </w:numPr>
        <w:kinsoku/>
        <w:wordWrap/>
        <w:overflowPunct/>
        <w:topLinePunct w:val="0"/>
        <w:autoSpaceDE/>
        <w:autoSpaceDN/>
        <w:bidi w:val="0"/>
        <w:adjustRightInd/>
        <w:snapToGrid/>
        <w:textAlignment w:val="auto"/>
        <w:rPr>
          <w:rFonts w:hint="eastAsia" w:ascii="宋体" w:hAnsi="宋体" w:eastAsia="宋体" w:cs="宋体"/>
          <w:b/>
          <w:bCs/>
          <w:i w:val="0"/>
          <w:iCs w:val="0"/>
          <w:caps w:val="0"/>
          <w:color w:val="auto"/>
          <w:spacing w:val="8"/>
          <w:sz w:val="28"/>
          <w:szCs w:val="28"/>
          <w:shd w:val="clear" w:fill="FFFFFF"/>
          <w:lang w:eastAsia="zh-CN"/>
        </w:rPr>
      </w:pPr>
      <w:r>
        <w:rPr>
          <w:rFonts w:hint="eastAsia" w:ascii="宋体" w:hAnsi="宋体" w:eastAsia="宋体" w:cs="宋体"/>
          <w:b/>
          <w:bCs/>
          <w:i w:val="0"/>
          <w:iCs w:val="0"/>
          <w:caps w:val="0"/>
          <w:color w:val="auto"/>
          <w:spacing w:val="8"/>
          <w:sz w:val="28"/>
          <w:szCs w:val="28"/>
          <w:shd w:val="clear" w:fill="FFFFFF"/>
          <w:lang w:eastAsia="zh-CN"/>
        </w:rPr>
        <w:t>报名时间</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eastAsia="zh-CN"/>
        </w:rPr>
        <w:t>即日——</w:t>
      </w:r>
      <w:r>
        <w:rPr>
          <w:rFonts w:hint="eastAsia" w:ascii="宋体" w:hAnsi="宋体" w:eastAsia="宋体" w:cs="宋体"/>
          <w:i w:val="0"/>
          <w:iCs w:val="0"/>
          <w:caps w:val="0"/>
          <w:color w:val="auto"/>
          <w:spacing w:val="8"/>
          <w:sz w:val="28"/>
          <w:szCs w:val="28"/>
          <w:shd w:val="clear" w:fill="FFFFFF"/>
          <w:lang w:val="en-US" w:eastAsia="zh-CN"/>
        </w:rPr>
        <w:t>2024.5.30</w:t>
      </w:r>
    </w:p>
    <w:p>
      <w:pPr>
        <w:keepNext w:val="0"/>
        <w:keepLines w:val="0"/>
        <w:pageBreakBefore w:val="0"/>
        <w:numPr>
          <w:ilvl w:val="0"/>
          <w:numId w:val="1"/>
        </w:numPr>
        <w:kinsoku/>
        <w:wordWrap/>
        <w:overflowPunct/>
        <w:topLinePunct w:val="0"/>
        <w:autoSpaceDE/>
        <w:autoSpaceDN/>
        <w:bidi w:val="0"/>
        <w:adjustRightInd/>
        <w:snapToGrid/>
        <w:textAlignment w:val="auto"/>
        <w:rPr>
          <w:rFonts w:hint="eastAsia" w:ascii="宋体" w:hAnsi="宋体" w:eastAsia="宋体" w:cs="宋体"/>
          <w:b/>
          <w:bCs/>
          <w:i w:val="0"/>
          <w:iCs w:val="0"/>
          <w:caps w:val="0"/>
          <w:color w:val="auto"/>
          <w:spacing w:val="8"/>
          <w:sz w:val="28"/>
          <w:szCs w:val="28"/>
          <w:shd w:val="clear" w:fill="FFFFFF"/>
          <w:lang w:val="en-US" w:eastAsia="zh-CN"/>
        </w:rPr>
      </w:pPr>
      <w:r>
        <w:rPr>
          <w:rFonts w:hint="eastAsia" w:ascii="宋体" w:hAnsi="宋体" w:eastAsia="宋体" w:cs="宋体"/>
          <w:b/>
          <w:bCs/>
          <w:i w:val="0"/>
          <w:iCs w:val="0"/>
          <w:caps w:val="0"/>
          <w:color w:val="auto"/>
          <w:spacing w:val="8"/>
          <w:sz w:val="28"/>
          <w:szCs w:val="28"/>
          <w:shd w:val="clear" w:fill="FFFFFF"/>
          <w:lang w:val="en-US" w:eastAsia="zh-CN"/>
        </w:rPr>
        <w:t>大赛流程</w:t>
      </w:r>
    </w:p>
    <w:p>
      <w:pPr>
        <w:keepNext w:val="0"/>
        <w:keepLines w:val="0"/>
        <w:pageBreakBefore w:val="0"/>
        <w:widowControl w:val="0"/>
        <w:kinsoku/>
        <w:wordWrap/>
        <w:overflowPunct/>
        <w:topLinePunct w:val="0"/>
        <w:autoSpaceDE/>
        <w:autoSpaceDN/>
        <w:bidi w:val="0"/>
        <w:adjustRightInd/>
        <w:snapToGrid/>
        <w:ind w:firstLine="594"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b/>
          <w:bCs/>
          <w:i w:val="0"/>
          <w:iCs w:val="0"/>
          <w:caps w:val="0"/>
          <w:color w:val="auto"/>
          <w:spacing w:val="8"/>
          <w:sz w:val="28"/>
          <w:szCs w:val="28"/>
          <w:shd w:val="clear" w:fill="FFFFFF"/>
          <w:lang w:val="en-US" w:eastAsia="zh-CN"/>
        </w:rPr>
        <w:t>1.</w:t>
      </w:r>
      <w:r>
        <w:rPr>
          <w:rFonts w:hint="eastAsia" w:ascii="宋体" w:hAnsi="宋体" w:eastAsia="宋体" w:cs="宋体"/>
          <w:b/>
          <w:bCs/>
          <w:i w:val="0"/>
          <w:iCs w:val="0"/>
          <w:caps w:val="0"/>
          <w:color w:val="auto"/>
          <w:spacing w:val="8"/>
          <w:sz w:val="28"/>
          <w:szCs w:val="28"/>
          <w:shd w:val="clear" w:fill="FFFFFF"/>
          <w:lang w:val="en-US" w:eastAsia="zh-CN"/>
        </w:rPr>
        <w:t>校赛</w:t>
      </w:r>
      <w:r>
        <w:rPr>
          <w:rFonts w:hint="eastAsia" w:ascii="宋体" w:hAnsi="宋体" w:eastAsia="宋体" w:cs="宋体"/>
          <w:i w:val="0"/>
          <w:iCs w:val="0"/>
          <w:caps w:val="0"/>
          <w:color w:val="auto"/>
          <w:spacing w:val="8"/>
          <w:sz w:val="28"/>
          <w:szCs w:val="28"/>
          <w:shd w:val="clear" w:fill="FFFFFF"/>
          <w:lang w:val="en-US" w:eastAsia="zh-CN"/>
        </w:rPr>
        <w:t xml:space="preserve">：2024年5月6日-2024年5月31日 </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比赛形式为个人赛，进行模拟交易；各校综合收益率排名前30%的学生进入省赛。</w:t>
      </w:r>
    </w:p>
    <w:p>
      <w:pPr>
        <w:keepNext w:val="0"/>
        <w:keepLines w:val="0"/>
        <w:pageBreakBefore w:val="0"/>
        <w:widowControl w:val="0"/>
        <w:kinsoku/>
        <w:wordWrap/>
        <w:overflowPunct/>
        <w:topLinePunct w:val="0"/>
        <w:autoSpaceDE/>
        <w:autoSpaceDN/>
        <w:bidi w:val="0"/>
        <w:adjustRightInd/>
        <w:snapToGrid/>
        <w:ind w:firstLine="594"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b/>
          <w:bCs/>
          <w:i w:val="0"/>
          <w:iCs w:val="0"/>
          <w:caps w:val="0"/>
          <w:color w:val="auto"/>
          <w:spacing w:val="8"/>
          <w:sz w:val="28"/>
          <w:szCs w:val="28"/>
          <w:shd w:val="clear" w:fill="FFFFFF"/>
          <w:lang w:val="en-US" w:eastAsia="zh-CN"/>
        </w:rPr>
        <w:t>2.省赛</w:t>
      </w:r>
      <w:r>
        <w:rPr>
          <w:rFonts w:hint="eastAsia" w:ascii="宋体" w:hAnsi="宋体" w:eastAsia="宋体" w:cs="宋体"/>
          <w:i w:val="0"/>
          <w:iCs w:val="0"/>
          <w:caps w:val="0"/>
          <w:color w:val="auto"/>
          <w:spacing w:val="8"/>
          <w:sz w:val="28"/>
          <w:szCs w:val="28"/>
          <w:shd w:val="clear" w:fill="FFFFFF"/>
          <w:lang w:val="en-US" w:eastAsia="zh-CN"/>
        </w:rPr>
        <w:t>：2024年6月11日-2024年7月5日</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比赛形式为团队赛，参赛团队由晋级省赛的学生担任操盘手，邀请同校学生作为策略师、风控师组建团队，被邀请人可以是未报名参赛的学生，也可以是在校赛未晋级的学生，晋级学生之间也可以相互邀请；每个团队需设一名指导老师，参赛者仅限参加一个团队；每省（自治区、直辖市）综合收益率排名前20%的团队进入国赛；单周全国综合收益冠军团队直接进入国赛。</w:t>
      </w:r>
    </w:p>
    <w:p>
      <w:pPr>
        <w:keepNext w:val="0"/>
        <w:keepLines w:val="0"/>
        <w:pageBreakBefore w:val="0"/>
        <w:widowControl w:val="0"/>
        <w:kinsoku/>
        <w:wordWrap/>
        <w:overflowPunct/>
        <w:topLinePunct w:val="0"/>
        <w:autoSpaceDE/>
        <w:autoSpaceDN/>
        <w:bidi w:val="0"/>
        <w:adjustRightInd/>
        <w:snapToGrid/>
        <w:ind w:firstLine="594"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b/>
          <w:bCs/>
          <w:i w:val="0"/>
          <w:iCs w:val="0"/>
          <w:caps w:val="0"/>
          <w:color w:val="auto"/>
          <w:spacing w:val="8"/>
          <w:sz w:val="28"/>
          <w:szCs w:val="28"/>
          <w:shd w:val="clear" w:fill="FFFFFF"/>
          <w:lang w:val="en-US" w:eastAsia="zh-CN"/>
        </w:rPr>
        <w:t>3.国赛</w:t>
      </w:r>
      <w:r>
        <w:rPr>
          <w:rFonts w:hint="eastAsia" w:ascii="宋体" w:hAnsi="宋体" w:eastAsia="宋体" w:cs="宋体"/>
          <w:i w:val="0"/>
          <w:iCs w:val="0"/>
          <w:caps w:val="0"/>
          <w:color w:val="auto"/>
          <w:spacing w:val="8"/>
          <w:sz w:val="28"/>
          <w:szCs w:val="28"/>
          <w:shd w:val="clear" w:fill="FFFFFF"/>
          <w:lang w:val="en-US" w:eastAsia="zh-CN"/>
        </w:rPr>
        <w:t>：2024年7月8日-2024年8月2日</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 xml:space="preserve">比赛形式为团队赛，团队成员为省赛晋级原班人马，无需重新组队，按综合收益率排名评比出冠亚季军各一个团队。 </w:t>
      </w:r>
    </w:p>
    <w:p>
      <w:pPr>
        <w:keepNext w:val="0"/>
        <w:keepLines w:val="0"/>
        <w:pageBreakBefore w:val="0"/>
        <w:numPr>
          <w:ilvl w:val="0"/>
          <w:numId w:val="1"/>
        </w:numPr>
        <w:kinsoku/>
        <w:wordWrap/>
        <w:overflowPunct/>
        <w:topLinePunct w:val="0"/>
        <w:autoSpaceDE/>
        <w:autoSpaceDN/>
        <w:bidi w:val="0"/>
        <w:adjustRightInd/>
        <w:snapToGrid/>
        <w:textAlignment w:val="auto"/>
        <w:rPr>
          <w:rFonts w:hint="eastAsia" w:ascii="宋体" w:hAnsi="宋体" w:eastAsia="宋体" w:cs="宋体"/>
          <w:b/>
          <w:bCs/>
          <w:i w:val="0"/>
          <w:iCs w:val="0"/>
          <w:caps w:val="0"/>
          <w:color w:val="auto"/>
          <w:spacing w:val="8"/>
          <w:sz w:val="28"/>
          <w:szCs w:val="28"/>
          <w:shd w:val="clear" w:fill="FFFFFF"/>
          <w:lang w:val="en-US" w:eastAsia="zh-CN"/>
        </w:rPr>
      </w:pPr>
      <w:r>
        <w:rPr>
          <w:rFonts w:hint="eastAsia" w:ascii="宋体" w:hAnsi="宋体" w:eastAsia="宋体" w:cs="宋体"/>
          <w:b/>
          <w:bCs/>
          <w:i w:val="0"/>
          <w:iCs w:val="0"/>
          <w:caps w:val="0"/>
          <w:color w:val="auto"/>
          <w:spacing w:val="8"/>
          <w:sz w:val="28"/>
          <w:szCs w:val="28"/>
          <w:shd w:val="clear" w:fill="FFFFFF"/>
          <w:lang w:val="en-US" w:eastAsia="zh-CN"/>
        </w:rPr>
        <w:t>报名与确认</w:t>
      </w:r>
    </w:p>
    <w:p>
      <w:pPr>
        <w:keepNext w:val="0"/>
        <w:keepLines w:val="0"/>
        <w:pageBreakBefore w:val="0"/>
        <w:numPr>
          <w:numId w:val="0"/>
        </w:numPr>
        <w:kinsoku/>
        <w:wordWrap/>
        <w:overflowPunct/>
        <w:topLinePunct w:val="0"/>
        <w:autoSpaceDE/>
        <w:autoSpaceDN/>
        <w:bidi w:val="0"/>
        <w:adjustRightInd/>
        <w:snapToGrid/>
        <w:ind w:leftChars="0"/>
        <w:jc w:val="center"/>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color w:val="auto"/>
          <w:sz w:val="28"/>
          <w:szCs w:val="28"/>
        </w:rPr>
        <w:drawing>
          <wp:inline distT="0" distB="0" distL="114300" distR="114300">
            <wp:extent cx="4766310" cy="3343910"/>
            <wp:effectExtent l="0" t="0" r="152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766310" cy="3343910"/>
                    </a:xfrm>
                    <a:prstGeom prst="rect">
                      <a:avLst/>
                    </a:prstGeom>
                    <a:noFill/>
                    <a:ln>
                      <a:noFill/>
                    </a:ln>
                  </pic:spPr>
                </pic:pic>
              </a:graphicData>
            </a:graphic>
          </wp:inline>
        </w:drawing>
      </w:r>
    </w:p>
    <w:p>
      <w:pPr>
        <w:keepNext w:val="0"/>
        <w:keepLines w:val="0"/>
        <w:pageBreakBefore w:val="0"/>
        <w:numPr>
          <w:numId w:val="0"/>
        </w:numPr>
        <w:kinsoku/>
        <w:wordWrap/>
        <w:overflowPunct/>
        <w:topLinePunct w:val="0"/>
        <w:autoSpaceDE/>
        <w:autoSpaceDN/>
        <w:bidi w:val="0"/>
        <w:adjustRightInd/>
        <w:snapToGrid/>
        <w:textAlignment w:val="auto"/>
        <w:rPr>
          <w:rFonts w:hint="eastAsia" w:ascii="宋体" w:hAnsi="宋体" w:eastAsia="宋体" w:cs="宋体"/>
          <w:b/>
          <w:bCs/>
          <w:i w:val="0"/>
          <w:iCs w:val="0"/>
          <w:caps w:val="0"/>
          <w:color w:val="auto"/>
          <w:spacing w:val="8"/>
          <w:sz w:val="28"/>
          <w:szCs w:val="28"/>
          <w:shd w:val="clear" w:fill="FFFFFF"/>
          <w:lang w:val="en-US" w:eastAsia="zh-CN"/>
        </w:rPr>
      </w:pPr>
    </w:p>
    <w:p>
      <w:pPr>
        <w:keepNext w:val="0"/>
        <w:keepLines w:val="0"/>
        <w:pageBreakBefore w:val="0"/>
        <w:numPr>
          <w:numId w:val="0"/>
        </w:numPr>
        <w:kinsoku/>
        <w:wordWrap/>
        <w:overflowPunct/>
        <w:topLinePunct w:val="0"/>
        <w:autoSpaceDE/>
        <w:autoSpaceDN/>
        <w:bidi w:val="0"/>
        <w:adjustRightInd/>
        <w:snapToGrid/>
        <w:jc w:val="center"/>
        <w:textAlignment w:val="auto"/>
        <w:rPr>
          <w:rFonts w:hint="eastAsia" w:ascii="宋体" w:hAnsi="宋体" w:eastAsia="宋体" w:cs="宋体"/>
          <w:b/>
          <w:bCs/>
          <w:i w:val="0"/>
          <w:iCs w:val="0"/>
          <w:caps w:val="0"/>
          <w:color w:val="auto"/>
          <w:spacing w:val="8"/>
          <w:sz w:val="28"/>
          <w:szCs w:val="28"/>
          <w:shd w:val="clear" w:fill="FFFFFF"/>
          <w:lang w:val="en-US" w:eastAsia="zh-CN"/>
        </w:rPr>
      </w:pPr>
      <w:r>
        <w:drawing>
          <wp:inline distT="0" distB="0" distL="114300" distR="114300">
            <wp:extent cx="4804410" cy="2788285"/>
            <wp:effectExtent l="0" t="0" r="15240" b="1206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5"/>
                    <a:stretch>
                      <a:fillRect/>
                    </a:stretch>
                  </pic:blipFill>
                  <pic:spPr>
                    <a:xfrm>
                      <a:off x="0" y="0"/>
                      <a:ext cx="4804410" cy="2788285"/>
                    </a:xfrm>
                    <a:prstGeom prst="rect">
                      <a:avLst/>
                    </a:prstGeom>
                    <a:noFill/>
                    <a:ln>
                      <a:noFill/>
                    </a:ln>
                  </pic:spPr>
                </pic:pic>
              </a:graphicData>
            </a:graphic>
          </wp:inline>
        </w:drawing>
      </w:r>
    </w:p>
    <w:p>
      <w:pPr>
        <w:keepNext w:val="0"/>
        <w:keepLines w:val="0"/>
        <w:pageBreakBefore w:val="0"/>
        <w:numPr>
          <w:numId w:val="0"/>
        </w:numPr>
        <w:kinsoku/>
        <w:wordWrap/>
        <w:overflowPunct/>
        <w:topLinePunct w:val="0"/>
        <w:autoSpaceDE/>
        <w:autoSpaceDN/>
        <w:bidi w:val="0"/>
        <w:adjustRightInd/>
        <w:snapToGrid/>
        <w:textAlignment w:val="auto"/>
        <w:rPr>
          <w:rFonts w:hint="eastAsia" w:ascii="宋体" w:hAnsi="宋体" w:eastAsia="宋体" w:cs="宋体"/>
          <w:b/>
          <w:bCs/>
          <w:i w:val="0"/>
          <w:iCs w:val="0"/>
          <w:caps w:val="0"/>
          <w:color w:val="auto"/>
          <w:spacing w:val="8"/>
          <w:sz w:val="28"/>
          <w:szCs w:val="28"/>
          <w:shd w:val="clear" w:fill="FFFFFF"/>
          <w:lang w:val="en-US" w:eastAsia="zh-CN"/>
        </w:rPr>
      </w:pPr>
    </w:p>
    <w:p>
      <w:pPr>
        <w:keepNext w:val="0"/>
        <w:keepLines w:val="0"/>
        <w:pageBreakBefore w:val="0"/>
        <w:numPr>
          <w:numId w:val="0"/>
        </w:numPr>
        <w:kinsoku/>
        <w:wordWrap/>
        <w:overflowPunct/>
        <w:topLinePunct w:val="0"/>
        <w:autoSpaceDE/>
        <w:autoSpaceDN/>
        <w:bidi w:val="0"/>
        <w:adjustRightInd/>
        <w:snapToGrid/>
        <w:textAlignment w:val="auto"/>
        <w:rPr>
          <w:rFonts w:hint="eastAsia" w:ascii="宋体" w:hAnsi="宋体" w:eastAsia="宋体" w:cs="宋体"/>
          <w:b/>
          <w:bCs/>
          <w:i w:val="0"/>
          <w:iCs w:val="0"/>
          <w:caps w:val="0"/>
          <w:color w:val="auto"/>
          <w:spacing w:val="8"/>
          <w:sz w:val="28"/>
          <w:szCs w:val="28"/>
          <w:shd w:val="clear" w:fill="FFFFFF"/>
          <w:lang w:val="en-US" w:eastAsia="zh-CN"/>
        </w:rPr>
      </w:pPr>
    </w:p>
    <w:p>
      <w:pPr>
        <w:keepNext w:val="0"/>
        <w:keepLines w:val="0"/>
        <w:pageBreakBefore w:val="0"/>
        <w:numPr>
          <w:numId w:val="0"/>
        </w:numPr>
        <w:kinsoku/>
        <w:wordWrap/>
        <w:overflowPunct/>
        <w:topLinePunct w:val="0"/>
        <w:autoSpaceDE/>
        <w:autoSpaceDN/>
        <w:bidi w:val="0"/>
        <w:adjustRightInd/>
        <w:snapToGrid/>
        <w:textAlignment w:val="auto"/>
        <w:rPr>
          <w:rFonts w:hint="eastAsia" w:ascii="宋体" w:hAnsi="宋体" w:eastAsia="宋体" w:cs="宋体"/>
          <w:b/>
          <w:bCs/>
          <w:i w:val="0"/>
          <w:iCs w:val="0"/>
          <w:caps w:val="0"/>
          <w:color w:val="auto"/>
          <w:spacing w:val="8"/>
          <w:sz w:val="28"/>
          <w:szCs w:val="28"/>
          <w:shd w:val="clear" w:fill="FFFFFF"/>
          <w:lang w:val="en-US" w:eastAsia="zh-CN"/>
        </w:rPr>
      </w:pPr>
      <w:r>
        <w:rPr>
          <w:rFonts w:hint="eastAsia" w:ascii="宋体" w:hAnsi="宋体" w:eastAsia="宋体" w:cs="宋体"/>
          <w:b/>
          <w:bCs/>
          <w:i w:val="0"/>
          <w:iCs w:val="0"/>
          <w:caps w:val="0"/>
          <w:color w:val="auto"/>
          <w:spacing w:val="8"/>
          <w:sz w:val="28"/>
          <w:szCs w:val="28"/>
          <w:shd w:val="clear" w:fill="FFFFFF"/>
          <w:lang w:val="en-US" w:eastAsia="zh-CN"/>
        </w:rPr>
        <w:t>四、比赛标的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参赛学生及团队均使用大赛专用平台，交易品种限于沪深两市上市的A股、场内基金。</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sz w:val="28"/>
          <w:szCs w:val="28"/>
        </w:rPr>
        <w:drawing>
          <wp:inline distT="0" distB="0" distL="114300" distR="114300">
            <wp:extent cx="3990975" cy="22288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990975" cy="2228850"/>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宋体" w:hAnsi="宋体" w:eastAsia="宋体" w:cs="宋体"/>
          <w:b/>
          <w:bCs/>
          <w:i w:val="0"/>
          <w:iCs w:val="0"/>
          <w:caps w:val="0"/>
          <w:color w:val="auto"/>
          <w:spacing w:val="8"/>
          <w:sz w:val="28"/>
          <w:szCs w:val="28"/>
          <w:shd w:val="clear" w:fill="FFFFFF"/>
          <w:lang w:val="en-US" w:eastAsia="zh-CN"/>
        </w:rPr>
      </w:pPr>
      <w:r>
        <w:rPr>
          <w:rFonts w:hint="eastAsia" w:ascii="宋体" w:hAnsi="宋体" w:eastAsia="宋体" w:cs="宋体"/>
          <w:b/>
          <w:bCs/>
          <w:i w:val="0"/>
          <w:iCs w:val="0"/>
          <w:caps w:val="0"/>
          <w:color w:val="auto"/>
          <w:spacing w:val="8"/>
          <w:sz w:val="28"/>
          <w:szCs w:val="28"/>
          <w:shd w:val="clear" w:fill="FFFFFF"/>
          <w:lang w:val="en-US" w:eastAsia="zh-CN"/>
        </w:rPr>
        <w:t>五、比赛标的-特殊情况</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 xml:space="preserve">如果选手在大赛期间始终未操作，则不计算比赛成绩。 </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 xml:space="preserve">如果系统发生软硬件故障，导致模拟交易系统的运行处于非正常状态，主办方有权暂停有关操作，并对异常时期内的买卖操作进行相应的处置；原则上异常交易数据将被重置回当日或前一日开盘前状态。 </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如发现系统存在漏洞，主办方将予以核实，对故意利用漏洞获利选手主办方有权利取消其参赛成绩。</w:t>
      </w:r>
    </w:p>
    <w:p>
      <w:pPr>
        <w:keepNext w:val="0"/>
        <w:keepLines w:val="0"/>
        <w:pageBreakBefore w:val="0"/>
        <w:numPr>
          <w:numId w:val="0"/>
        </w:numPr>
        <w:kinsoku/>
        <w:wordWrap/>
        <w:overflowPunct/>
        <w:topLinePunct w:val="0"/>
        <w:autoSpaceDE/>
        <w:autoSpaceDN/>
        <w:bidi w:val="0"/>
        <w:adjustRightInd/>
        <w:snapToGrid/>
        <w:textAlignment w:val="auto"/>
        <w:rPr>
          <w:rFonts w:hint="eastAsia" w:ascii="宋体" w:hAnsi="宋体" w:eastAsia="宋体" w:cs="宋体"/>
          <w:b/>
          <w:bCs/>
          <w:i w:val="0"/>
          <w:iCs w:val="0"/>
          <w:caps w:val="0"/>
          <w:color w:val="auto"/>
          <w:spacing w:val="8"/>
          <w:sz w:val="28"/>
          <w:szCs w:val="28"/>
          <w:shd w:val="clear" w:fill="FFFFFF"/>
          <w:lang w:val="en-US" w:eastAsia="zh-CN"/>
        </w:rPr>
      </w:pPr>
      <w:r>
        <w:rPr>
          <w:rFonts w:hint="eastAsia" w:ascii="宋体" w:hAnsi="宋体" w:eastAsia="宋体" w:cs="宋体"/>
          <w:b/>
          <w:bCs/>
          <w:i w:val="0"/>
          <w:iCs w:val="0"/>
          <w:caps w:val="0"/>
          <w:color w:val="auto"/>
          <w:spacing w:val="8"/>
          <w:sz w:val="28"/>
          <w:szCs w:val="28"/>
          <w:shd w:val="clear" w:fill="FFFFFF"/>
          <w:lang w:val="en-US" w:eastAsia="zh-CN"/>
        </w:rPr>
        <w:t>六、奖项设置</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1.冠、亚、季军奖</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 xml:space="preserve">国赛冠军团队奖励30000元及证书; </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 xml:space="preserve">国赛亚军团队奖励20000元及证书; </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 xml:space="preserve">国赛季军团队奖励10000元及证书。 </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（国赛冠亚季军团队成员均可获得价值30888元的软件大礼包一份)</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 xml:space="preserve">2.最佳风控师、最佳策略师 </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省赛及国赛阶段，策略师和风控师按照要求分别定期提交策略报告和风控报告，由大赛组委会评选最佳策略师和最佳风控师各一名，分别获10000元奖金及证书。</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 xml:space="preserve">3.一、二、三等奖 </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 xml:space="preserve">国赛排名前300名的团队获一等奖证书; </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 xml:space="preserve">国赛排名第301-1300名的团队获二等奖证书; </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 xml:space="preserve">国赛排名第1301-3000名的团队获三等奖证书。 </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 xml:space="preserve">国赛由共青团中央青年发展部颁发纸质证书。 </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4.参与奖项</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成功晋级国赛的学生可获得价值6188元的软件礼包一份。成功晋级省赛的学生可获得价值4188元的软件礼包。所有报名参加校赛的学生可获得价值2088元的软件礼包一份和参赛实践证明。</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5.省赛奖项</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 xml:space="preserve">省赛排名前5%的团队获省赛一等奖证书， </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 xml:space="preserve">省赛排名前5%-前15%的团队获省赛二等奖证书， </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省赛排名前15%-前30%的团队获省赛三等奖证书，省赛由东方财富颁发电子证书。</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default"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6.校赛奖励</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 xml:space="preserve">按选手校赛期间正收益率所在区间奖金池及累计报名人数梯度奖励瓜分相应奖金，收益率越高，瓜分金额越大。 </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 xml:space="preserve">报名人数越多，可瓜分奖金池越大！ </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 xml:space="preserve">参赛or预约大赛，邀请人可获得一次必中的转盘抽奖机会，“转”取大奖。益率所在区间奖金池瓜分相应奖金，收益率越高，瓜分金额越大。 </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sz w:val="28"/>
          <w:szCs w:val="28"/>
        </w:rPr>
        <w:drawing>
          <wp:inline distT="0" distB="0" distL="114300" distR="114300">
            <wp:extent cx="4774565" cy="1932305"/>
            <wp:effectExtent l="0" t="0" r="6985" b="107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4774565" cy="1932305"/>
                    </a:xfrm>
                    <a:prstGeom prst="rect">
                      <a:avLst/>
                    </a:prstGeom>
                    <a:noFill/>
                    <a:ln>
                      <a:noFill/>
                    </a:ln>
                  </pic:spPr>
                </pic:pic>
              </a:graphicData>
            </a:graphic>
          </wp:inline>
        </w:drawing>
      </w:r>
    </w:p>
    <w:p>
      <w:pPr>
        <w:keepNext w:val="0"/>
        <w:keepLines w:val="0"/>
        <w:pageBreakBefore w:val="0"/>
        <w:numPr>
          <w:numId w:val="0"/>
        </w:numPr>
        <w:kinsoku/>
        <w:wordWrap/>
        <w:overflowPunct/>
        <w:topLinePunct w:val="0"/>
        <w:autoSpaceDE/>
        <w:autoSpaceDN/>
        <w:bidi w:val="0"/>
        <w:adjustRightInd/>
        <w:snapToGrid/>
        <w:textAlignment w:val="auto"/>
        <w:rPr>
          <w:rFonts w:hint="eastAsia" w:ascii="宋体" w:hAnsi="宋体" w:eastAsia="宋体" w:cs="宋体"/>
          <w:b/>
          <w:bCs/>
          <w:i w:val="0"/>
          <w:iCs w:val="0"/>
          <w:caps w:val="0"/>
          <w:color w:val="auto"/>
          <w:spacing w:val="8"/>
          <w:sz w:val="28"/>
          <w:szCs w:val="28"/>
          <w:shd w:val="clear" w:fill="FFFFFF"/>
          <w:lang w:val="en-US" w:eastAsia="zh-CN"/>
        </w:rPr>
      </w:pPr>
      <w:r>
        <w:rPr>
          <w:rFonts w:hint="eastAsia" w:ascii="宋体" w:hAnsi="宋体" w:eastAsia="宋体" w:cs="宋体"/>
          <w:b/>
          <w:bCs/>
          <w:i w:val="0"/>
          <w:iCs w:val="0"/>
          <w:caps w:val="0"/>
          <w:color w:val="auto"/>
          <w:spacing w:val="8"/>
          <w:sz w:val="28"/>
          <w:szCs w:val="28"/>
          <w:shd w:val="clear" w:fill="FFFFFF"/>
          <w:lang w:val="en-US" w:eastAsia="zh-CN"/>
        </w:rPr>
        <w:t>注意：</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 xml:space="preserve">赛事所有奖项及奖金取最高单项，获奖证书为国家认证。 </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r>
        <w:rPr>
          <w:rFonts w:hint="eastAsia" w:ascii="宋体" w:hAnsi="宋体" w:eastAsia="宋体" w:cs="宋体"/>
          <w:i w:val="0"/>
          <w:iCs w:val="0"/>
          <w:caps w:val="0"/>
          <w:color w:val="auto"/>
          <w:spacing w:val="8"/>
          <w:sz w:val="28"/>
          <w:szCs w:val="28"/>
          <w:shd w:val="clear" w:fill="FFFFFF"/>
          <w:lang w:val="en-US" w:eastAsia="zh-CN"/>
        </w:rPr>
        <w:t>所设奖金均为税前金额，最终将由大赛承办方东方财富信息股份有限公司统一代缴个人所得税后发放。</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宋体" w:hAnsi="宋体" w:eastAsia="宋体" w:cs="宋体"/>
          <w:i w:val="0"/>
          <w:iCs w:val="0"/>
          <w:caps w:val="0"/>
          <w:color w:val="auto"/>
          <w:spacing w:val="8"/>
          <w:sz w:val="28"/>
          <w:szCs w:val="28"/>
          <w:shd w:val="clear" w:fill="FFFFFF"/>
          <w:lang w:val="en-US" w:eastAsia="zh-CN"/>
        </w:rPr>
      </w:pPr>
    </w:p>
    <w:p>
      <w:pPr>
        <w:keepNext w:val="0"/>
        <w:keepLines w:val="0"/>
        <w:pageBreakBefore w:val="0"/>
        <w:numPr>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未尽事宜可联系校内竞赛负责人：</w:t>
      </w:r>
    </w:p>
    <w:p>
      <w:pPr>
        <w:keepNext w:val="0"/>
        <w:keepLines w:val="0"/>
        <w:pageBreakBefore w:val="0"/>
        <w:numPr>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李老师   手机号码：18715010668    办公室：敬梓楼402</w:t>
      </w:r>
    </w:p>
    <w:p>
      <w:pPr>
        <w:keepNext w:val="0"/>
        <w:keepLines w:val="0"/>
        <w:pageBreakBefore w:val="0"/>
        <w:numPr>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附：活动海报</w:t>
      </w:r>
    </w:p>
    <w:p>
      <w:pPr>
        <w:keepNext w:val="0"/>
        <w:keepLines w:val="0"/>
        <w:pageBreakBefore w:val="0"/>
        <w:numPr>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28"/>
          <w:szCs w:val="28"/>
          <w:lang w:val="en-US" w:eastAsia="zh-CN"/>
        </w:rPr>
      </w:pPr>
    </w:p>
    <w:p>
      <w:pPr>
        <w:keepNext w:val="0"/>
        <w:keepLines w:val="0"/>
        <w:pageBreakBefore w:val="0"/>
        <w:numPr>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28"/>
          <w:szCs w:val="28"/>
          <w:lang w:val="en-US" w:eastAsia="zh-CN"/>
        </w:rPr>
      </w:pPr>
    </w:p>
    <w:p>
      <w:pPr>
        <w:keepNext w:val="0"/>
        <w:keepLines w:val="0"/>
        <w:pageBreakBefore w:val="0"/>
        <w:numPr>
          <w:numId w:val="0"/>
        </w:numPr>
        <w:kinsoku/>
        <w:wordWrap/>
        <w:overflowPunct/>
        <w:topLinePunct w:val="0"/>
        <w:autoSpaceDE/>
        <w:autoSpaceDN/>
        <w:bidi w:val="0"/>
        <w:adjustRightInd/>
        <w:snapToGrid/>
        <w:jc w:val="left"/>
        <w:textAlignment w:val="auto"/>
        <w:rPr>
          <w:rFonts w:hint="default" w:ascii="宋体" w:hAnsi="宋体" w:eastAsia="宋体" w:cs="宋体"/>
          <w:color w:val="auto"/>
          <w:sz w:val="28"/>
          <w:szCs w:val="28"/>
          <w:lang w:val="en-US" w:eastAsia="zh-CN"/>
        </w:rPr>
      </w:pPr>
      <w:bookmarkStart w:id="0" w:name="_GoBack"/>
      <w:r>
        <w:rPr>
          <w:rFonts w:hint="default" w:ascii="宋体" w:hAnsi="宋体" w:eastAsia="宋体" w:cs="宋体"/>
          <w:color w:val="auto"/>
          <w:sz w:val="28"/>
          <w:szCs w:val="28"/>
          <w:lang w:val="en-US" w:eastAsia="zh-CN"/>
        </w:rPr>
        <w:drawing>
          <wp:inline distT="0" distB="0" distL="114300" distR="114300">
            <wp:extent cx="5227955" cy="6978650"/>
            <wp:effectExtent l="0" t="0" r="10795" b="12700"/>
            <wp:docPr id="8" name="图片 8" descr="mmexport171583553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715835531550"/>
                    <pic:cNvPicPr>
                      <a:picLocks noChangeAspect="1"/>
                    </pic:cNvPicPr>
                  </pic:nvPicPr>
                  <pic:blipFill>
                    <a:blip r:embed="rId8"/>
                    <a:stretch>
                      <a:fillRect/>
                    </a:stretch>
                  </pic:blipFill>
                  <pic:spPr>
                    <a:xfrm>
                      <a:off x="0" y="0"/>
                      <a:ext cx="5227955" cy="697865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1">
    <w:altName w:val="Segoe Print"/>
    <w:panose1 w:val="00000000000000000000"/>
    <w:charset w:val="00"/>
    <w:family w:val="auto"/>
    <w:pitch w:val="default"/>
    <w:sig w:usb0="00000000" w:usb1="00000000" w:usb2="00000000" w:usb3="00000000" w:csb0="00000000" w:csb1="00000000"/>
  </w:font>
  <w:font w:name="3">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8F24F2"/>
    <w:multiLevelType w:val="singleLevel"/>
    <w:tmpl w:val="218F24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NjBmMTdmNDcwNzhlNTBhMWNhNDVkZWEyNzQwYWQifQ=="/>
  </w:docVars>
  <w:rsids>
    <w:rsidRoot w:val="00000000"/>
    <w:rsid w:val="08854B0D"/>
    <w:rsid w:val="0D062A3C"/>
    <w:rsid w:val="17E36DFD"/>
    <w:rsid w:val="2D4D0320"/>
    <w:rsid w:val="58EB57F8"/>
    <w:rsid w:val="5AE3448D"/>
    <w:rsid w:val="5FD81CBB"/>
    <w:rsid w:val="6ABD6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2024-05-16T04:28:38Z</dcterms:created>
  <dc:creator>Administrator</dc:creator>
  <cp:lastModifiedBy>John</cp:lastModifiedBy>
  <dcterms:modified xsi:type="dcterms:W3CDTF">2024-05-16T05:01:17Z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56EC609590544E01BB97F17375230134_12</vt:lpwstr>
  </property>
</Properties>
</file>