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default" w:ascii="黑体" w:hAnsi="黑体" w:eastAsia="黑体" w:cs="黑体"/>
          <w:spacing w:val="9"/>
          <w:sz w:val="24"/>
          <w:szCs w:val="24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2018年第2期目录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基于工控机的负压控制系统设计与实现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黄安全，梁华国，胡必君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矿井机车运输信号系统的Event-B建模与验证研究</w:t>
      </w:r>
      <w:r>
        <w:rPr>
          <w:rFonts w:hint="eastAsia" w:ascii="宋体" w:hAnsi="宋体" w:eastAsia="宋体" w:cs="宋体"/>
          <w:b w:val="0"/>
          <w:bCs w:val="0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荚文祥，陆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阳，许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崇，魏振春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红枣典型瑕疵图像识别算法与程序设计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周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斌，唐帅涛，吴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淼，程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琳，李瑞君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基于增量算法的逻辑电路故障模拟的研究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张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经济研究</w:t>
      </w:r>
    </w:p>
    <w:p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基于改进决策树算法的汽车销售数据挖掘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童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基于碳限额一交易的供应链协调订货与定价模型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赵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明，张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概率论与数理统计在经济中的应用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赵玉梅，梅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红，熊洪斌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5"/>
          <w:sz w:val="22"/>
          <w:szCs w:val="22"/>
        </w:rPr>
        <w:t>“</w:t>
      </w:r>
      <w:r>
        <w:rPr>
          <w:rFonts w:hint="eastAsia" w:ascii="宋体" w:hAnsi="宋体" w:eastAsia="宋体" w:cs="宋体"/>
          <w:sz w:val="22"/>
          <w:szCs w:val="22"/>
        </w:rPr>
        <w:t>VR</w:t>
      </w:r>
      <w:r>
        <w:rPr>
          <w:rFonts w:hint="eastAsia" w:ascii="宋体" w:hAnsi="宋体" w:eastAsia="宋体" w:cs="宋体"/>
          <w:spacing w:val="5"/>
          <w:sz w:val="22"/>
          <w:szCs w:val="22"/>
        </w:rPr>
        <w:t>+旅游”模式吸引高低龄消费市场的因素</w:t>
      </w:r>
      <w:r>
        <w:rPr>
          <w:rFonts w:hint="eastAsia" w:ascii="宋体" w:hAnsi="宋体" w:eastAsia="宋体" w:cs="宋体"/>
          <w:spacing w:val="-2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董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安徽文史研究</w:t>
      </w:r>
    </w:p>
    <w:p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近代中日建交背后的源动力：李鸿章支持与日本通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商立约因由新探</w:t>
      </w:r>
      <w:r>
        <w:rPr>
          <w:rFonts w:hint="eastAsia" w:ascii="宋体" w:hAnsi="宋体" w:eastAsia="宋体" w:cs="宋体"/>
          <w:spacing w:val="-4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黄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飞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近代旅外徽州同乡会的设立、组织及其功能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张小坡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“五四”语境下陈独秀的“美术革命”论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6"/>
          <w:sz w:val="22"/>
          <w:szCs w:val="22"/>
        </w:rPr>
        <w:t>范本勤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独特的“江淮重镇”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——合肥城市特质历史探寻</w:t>
      </w:r>
      <w:r>
        <w:rPr>
          <w:rFonts w:hint="eastAsia" w:ascii="宋体" w:hAnsi="宋体" w:eastAsia="宋体" w:cs="宋体"/>
          <w:spacing w:val="9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徐亚哲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哲学研究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1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论国际商务谈判的一条新路径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“和而不同”哲学思想视阈</w:t>
      </w:r>
      <w:r>
        <w:rPr>
          <w:rFonts w:hint="eastAsia" w:ascii="宋体" w:hAnsi="宋体" w:eastAsia="宋体" w:cs="宋体"/>
          <w:spacing w:val="6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宋词中的佛禅思想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孔德洁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8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思政课与翻译研究</w:t>
      </w:r>
    </w:p>
    <w:p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人本主义视角下改进高校思政课教材的几点思考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朱丽明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关联翻译理论在外交翻译中的应用探索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秦添婴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C632C22"/>
    <w:rsid w:val="2080016D"/>
    <w:rsid w:val="214B1E18"/>
    <w:rsid w:val="2480793F"/>
    <w:rsid w:val="463D012B"/>
    <w:rsid w:val="49A168DB"/>
    <w:rsid w:val="4EC42650"/>
    <w:rsid w:val="6F854425"/>
    <w:rsid w:val="7199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2023-09-26T15:31:00Z</dcterms:created>
  <dc:creator>Kingsoft-PDF</dc:creator>
  <cp:lastModifiedBy>小露</cp:lastModifiedBy>
  <dcterms:modified xsi:type="dcterms:W3CDTF">2024-04-24T08:17:55Z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2023-09-26T15:31:45Z</vt:filetime>
  </property>
  <property fmtid="{D5CDD505-2E9C-101B-9397-08002B2CF9AE}" pid="4" name="UsrData">
    <vt:lpwstr>651288dfdfd7f5001f1ed473wl</vt:lpwstr>
  </property>
  <property fmtid="{D5CDD505-2E9C-101B-9397-08002B2CF9AE}" pid="5" name="KSOProductBuildVer">
    <vt:lpwstr>2052-12.1.0.16729</vt:lpwstr>
  </property>
  <property fmtid="{D5CDD505-2E9C-101B-9397-08002B2CF9AE}" pid="6" name="ICV">
    <vt:lpwstr>1831E7FEE9D84EDBB4F67200CE2B3DA7_12</vt:lpwstr>
  </property>
</Properties>
</file>