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jc w:val="center"/>
        <w:textAlignment w:val="baseline"/>
        <w:rPr>
          <w:rFonts w:hint="default" w:ascii="黑体" w:hAnsi="黑体" w:eastAsia="黑体" w:cs="黑体"/>
          <w:spacing w:val="9"/>
          <w:sz w:val="24"/>
          <w:szCs w:val="24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2023年第1期目录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思想政治教育研究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从中国工业化到中国式现代化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——兼论《论十大关系》与中国式现代化道路的开辟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张神根，唐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中国式法治现代化新道路的历史逻辑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鲁逸然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试论中国式现代化的中国特色和本质要求</w:t>
      </w:r>
      <w:r>
        <w:rPr>
          <w:rFonts w:hint="eastAsia" w:ascii="宋体" w:hAnsi="宋体" w:eastAsia="宋体" w:cs="宋体"/>
          <w:spacing w:val="-4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刘子吟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蔡元培与张伯苓德育思想比较研究</w:t>
      </w:r>
      <w:r>
        <w:rPr>
          <w:rFonts w:hint="eastAsia" w:ascii="宋体" w:hAnsi="宋体" w:eastAsia="宋体" w:cs="宋体"/>
          <w:spacing w:val="-4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何双宝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翻译与文化研究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跨文化交际视角下英汉翻译归化与异化策略选择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高冬雁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数字绘画媒介与传统绘画媒介形式语言的融合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彭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从寒门到望族：明代徽州新兴世家宗族建构考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以婺源桃溪潘氏为例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江一方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经济与乡村建设研究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转型升级背景下中小制造业企业财务内部控制管理路径探索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以浩森科技为例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江子阳，桂作旺，黄逸清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论有限公司清算义务人的法律责任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金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丽，吴丹丹，鲁逸然，阮志宏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乡村振兴背景下肥西县乡村发展中的问题和解决途径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宋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畅，袁学华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机电与工程技术研究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ind w:left="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有限元模拟仿真技术在铝合金热处理中的应用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年夫雪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人工智能技术在机械电子工程领域的应用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实，秦家峰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连续纤维增强钛基复合材料研究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潘林燕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基于三维特效技术的游戏场景交互设计方式探讨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周晓成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教育与教学研究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我国高等教育教学分类评估研究的可视化分析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余国江，孟雪楠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4"/>
          <w:sz w:val="22"/>
          <w:szCs w:val="22"/>
        </w:rPr>
        <w:t>“三全育人”视角下高校学风建设路径探析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凌晨琛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超星平台的混合式教学模式在英语阅读教学中的实证研究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郭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思政教育的问题及对策探析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ind w:left="52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以河南高校B站官方账号为例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康欣莉，吴丹丹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对充分发挥学生信息员教学督察作用的思考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储红姣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9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文达要讯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推进产教融合发展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科大讯飞有限责任公司一行来校开展合作交流</w:t>
      </w:r>
      <w:r>
        <w:rPr>
          <w:rFonts w:hint="eastAsia" w:ascii="宋体" w:hAnsi="宋体" w:eastAsia="宋体" w:cs="宋体"/>
          <w:spacing w:val="-2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携手共进谋发展</w:t>
      </w:r>
      <w:r>
        <w:rPr>
          <w:rFonts w:hint="eastAsia"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合作共赢谱新篇</w:t>
      </w:r>
      <w:r>
        <w:rPr>
          <w:rFonts w:hint="eastAsia"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我校举行校企合作签约仪式</w:t>
      </w:r>
      <w:r>
        <w:rPr>
          <w:rFonts w:hint="eastAsia" w:ascii="宋体" w:hAnsi="宋体" w:eastAsia="宋体" w:cs="宋体"/>
          <w:spacing w:val="78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校领导调研智能制造实验室</w:t>
      </w:r>
      <w:r>
        <w:rPr>
          <w:rFonts w:hint="eastAsia" w:ascii="宋体" w:hAnsi="宋体" w:eastAsia="宋体" w:cs="宋体"/>
          <w:spacing w:val="7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我校李昌军教授参加中国大学生体育协会202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2年度课题立项评审会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我校召开新学期科研及硕士点立项建设单位工作推进会</w:t>
      </w:r>
      <w:r>
        <w:rPr>
          <w:rFonts w:hint="eastAsia" w:ascii="宋体" w:hAnsi="宋体" w:eastAsia="宋体" w:cs="宋体"/>
          <w:spacing w:val="9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校学子在2022年亚太地区大学生数学建模竞赛(APMCM)中荣获多项高层次国际奖项</w:t>
      </w:r>
      <w:r>
        <w:rPr>
          <w:rFonts w:hint="eastAsia" w:ascii="宋体" w:hAnsi="宋体" w:eastAsia="宋体" w:cs="宋体"/>
          <w:spacing w:val="-3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踔厉奋进新时代</w:t>
      </w:r>
      <w:r>
        <w:rPr>
          <w:rFonts w:hint="eastAsia"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笃行不怠向未来</w:t>
      </w:r>
      <w:r>
        <w:rPr>
          <w:rFonts w:hint="eastAsia"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我校召开第五次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教学工作会议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我校召开新一届学术委员会全体会议</w:t>
      </w:r>
      <w:r>
        <w:rPr>
          <w:rFonts w:hint="eastAsia" w:ascii="宋体" w:hAnsi="宋体" w:eastAsia="宋体" w:cs="宋体"/>
          <w:spacing w:val="8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开展国际合作</w:t>
      </w:r>
      <w:r>
        <w:rPr>
          <w:rFonts w:hint="eastAsia"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提升办学水平</w:t>
      </w:r>
      <w:r>
        <w:rPr>
          <w:rFonts w:hint="eastAsia"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我校与马来西亚思特雅大学签约合作办学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“文达讲坛”第二讲：偏振成像技术与应用</w:t>
      </w:r>
      <w:r>
        <w:rPr>
          <w:rFonts w:hint="eastAsia" w:ascii="宋体" w:hAnsi="宋体" w:eastAsia="宋体" w:cs="宋体"/>
          <w:spacing w:val="-5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</w:rPr>
        <w:t>“文达讲坛”第三讲：走进机器人世界——机器人运动学的关键技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术</w:t>
      </w:r>
      <w:r>
        <w:rPr>
          <w:rFonts w:hint="eastAsia" w:ascii="宋体" w:hAnsi="宋体" w:eastAsia="宋体" w:cs="宋体"/>
          <w:spacing w:val="-4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“文达讲坛”第四讲：匠心筑梦</w:t>
      </w:r>
      <w:r>
        <w:rPr>
          <w:rFonts w:hint="eastAsia" w:ascii="宋体" w:hAnsi="宋体" w:eastAsia="宋体" w:cs="宋体"/>
          <w:spacing w:val="3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智创未来——信号多尺度时频分解与应用</w:t>
      </w:r>
      <w:r>
        <w:rPr>
          <w:rFonts w:hint="eastAsia" w:ascii="宋体" w:hAnsi="宋体" w:eastAsia="宋体" w:cs="宋体"/>
          <w:spacing w:val="7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学校学术委员会召开第二次工作会议</w:t>
      </w:r>
      <w:r>
        <w:rPr>
          <w:rFonts w:hint="eastAsia" w:ascii="宋体" w:hAnsi="宋体" w:eastAsia="宋体" w:cs="宋体"/>
          <w:spacing w:val="8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03057A7"/>
    <w:rsid w:val="1D196568"/>
    <w:rsid w:val="4B60707D"/>
    <w:rsid w:val="514C7F8C"/>
    <w:rsid w:val="5FFC638B"/>
    <w:rsid w:val="672A6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Kingsoft-PDF</dc:creator>
  <cp:lastModifiedBy>小露</cp:lastModifiedBy>
  <dcterms:modified xsi:type="dcterms:W3CDTF">2024-04-25T01:21:07Z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2023-09-21T10:20:31Z</vt:filetime>
  </property>
  <property fmtid="{D5CDD505-2E9C-101B-9397-08002B2CF9AE}" pid="4" name="UsrData">
    <vt:lpwstr>650ba86c5e0b5e001fcea88awl</vt:lpwstr>
  </property>
  <property fmtid="{D5CDD505-2E9C-101B-9397-08002B2CF9AE}" pid="5" name="KSOProductBuildVer">
    <vt:lpwstr>2052-12.1.0.16729</vt:lpwstr>
  </property>
  <property fmtid="{D5CDD505-2E9C-101B-9397-08002B2CF9AE}" pid="6" name="ICV">
    <vt:lpwstr>3B3D075A7C2445D2B6FE45B156B73DE7_12</vt:lpwstr>
  </property>
</Properties>
</file>